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26B6" w14:textId="489CA65B" w:rsidR="00B105B5" w:rsidRDefault="00B105B5" w:rsidP="007E7376">
      <w:pPr>
        <w:rPr>
          <w:rFonts w:eastAsiaTheme="minorEastAsia"/>
          <w:b/>
          <w:sz w:val="32"/>
          <w:lang w:val="en-US" w:eastAsia="ja-JP"/>
        </w:rPr>
      </w:pPr>
    </w:p>
    <w:p w14:paraId="6086DDC5" w14:textId="77777777" w:rsidR="00B105B5" w:rsidRDefault="00B105B5" w:rsidP="007E7376">
      <w:pPr>
        <w:rPr>
          <w:rFonts w:eastAsiaTheme="minorEastAsia"/>
          <w:b/>
          <w:sz w:val="32"/>
          <w:lang w:val="en-US" w:eastAsia="ja-JP"/>
        </w:rPr>
      </w:pPr>
    </w:p>
    <w:p w14:paraId="30F6BD9D" w14:textId="36BBD8EF" w:rsidR="00B105B5" w:rsidRDefault="00B105B5" w:rsidP="007E7376">
      <w:pPr>
        <w:rPr>
          <w:rFonts w:eastAsiaTheme="minorEastAsia"/>
          <w:b/>
          <w:sz w:val="32"/>
          <w:lang w:val="en-US" w:eastAsia="ja-JP"/>
        </w:rPr>
      </w:pPr>
    </w:p>
    <w:p w14:paraId="04D4EADC" w14:textId="5F7E0CC8" w:rsidR="00B105B5" w:rsidRDefault="00C15A7A" w:rsidP="007E7376">
      <w:pPr>
        <w:rPr>
          <w:rFonts w:eastAsiaTheme="minorEastAsia"/>
          <w:b/>
          <w:sz w:val="32"/>
          <w:lang w:val="en-US" w:eastAsia="ja-JP"/>
        </w:rPr>
      </w:pPr>
      <w:r>
        <w:rPr>
          <w:noProof/>
          <w:lang w:eastAsia="en-GB"/>
        </w:rPr>
        <w:drawing>
          <wp:anchor distT="0" distB="0" distL="114300" distR="114300" simplePos="0" relativeHeight="251659264" behindDoc="0" locked="0" layoutInCell="1" allowOverlap="1" wp14:anchorId="72F116C3" wp14:editId="0F3F294F">
            <wp:simplePos x="0" y="0"/>
            <wp:positionH relativeFrom="column">
              <wp:posOffset>1762125</wp:posOffset>
            </wp:positionH>
            <wp:positionV relativeFrom="paragraph">
              <wp:posOffset>175260</wp:posOffset>
            </wp:positionV>
            <wp:extent cx="2124075" cy="1684655"/>
            <wp:effectExtent l="0" t="0" r="9525" b="0"/>
            <wp:wrapSquare wrapText="right"/>
            <wp:docPr id="2" name="Picture 2" descr="bjps logo fot J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jps logo fot Jack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68465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p w14:paraId="77429D96" w14:textId="77777777" w:rsidR="00B105B5" w:rsidRDefault="00B105B5" w:rsidP="007E7376">
      <w:pPr>
        <w:rPr>
          <w:rFonts w:eastAsiaTheme="minorEastAsia"/>
          <w:b/>
          <w:sz w:val="32"/>
          <w:lang w:val="en-US" w:eastAsia="ja-JP"/>
        </w:rPr>
      </w:pPr>
    </w:p>
    <w:p w14:paraId="51A46F03" w14:textId="77777777" w:rsidR="00B105B5" w:rsidRDefault="00B105B5" w:rsidP="007E7376">
      <w:pPr>
        <w:rPr>
          <w:rFonts w:eastAsiaTheme="minorEastAsia"/>
          <w:b/>
          <w:sz w:val="32"/>
          <w:lang w:val="en-US" w:eastAsia="ja-JP"/>
        </w:rPr>
      </w:pPr>
    </w:p>
    <w:p w14:paraId="6249EADA" w14:textId="77777777" w:rsidR="00C15A7A" w:rsidRDefault="00C15A7A" w:rsidP="007E7376">
      <w:pPr>
        <w:jc w:val="center"/>
        <w:rPr>
          <w:rFonts w:eastAsiaTheme="majorEastAsia" w:cs="Arial"/>
          <w:b/>
          <w:color w:val="000000" w:themeColor="text1"/>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3D2113AE" w14:textId="77777777" w:rsidR="00A23725" w:rsidRDefault="00A23725" w:rsidP="007E7376">
      <w:pPr>
        <w:jc w:val="center"/>
        <w:rPr>
          <w:rFonts w:eastAsiaTheme="majorEastAsia" w:cs="Arial"/>
          <w:color w:val="000000" w:themeColor="text1"/>
          <w:sz w:val="72"/>
          <w:szCs w:val="72"/>
          <w:lang w:eastAsia="ja-JP"/>
        </w:rPr>
      </w:pPr>
    </w:p>
    <w:p w14:paraId="66CCF9C2" w14:textId="77777777" w:rsidR="00824E5C" w:rsidRDefault="008C5987" w:rsidP="007E7376">
      <w:pPr>
        <w:jc w:val="center"/>
        <w:rPr>
          <w:rFonts w:eastAsiaTheme="majorEastAsia" w:cs="Arial"/>
          <w:b/>
          <w:color w:val="000000" w:themeColor="text1"/>
          <w:sz w:val="48"/>
          <w:szCs w:val="48"/>
          <w:lang w:val="en-US" w:eastAsia="ja-JP"/>
        </w:rPr>
      </w:pPr>
      <w:r w:rsidRPr="00824E5C">
        <w:rPr>
          <w:rFonts w:eastAsiaTheme="majorEastAsia" w:cs="Arial"/>
          <w:b/>
          <w:color w:val="000000" w:themeColor="text1"/>
          <w:sz w:val="48"/>
          <w:szCs w:val="48"/>
          <w:lang w:val="en-US" w:eastAsia="ja-JP"/>
        </w:rPr>
        <w:t xml:space="preserve">Scheme of Delegation of </w:t>
      </w:r>
    </w:p>
    <w:p w14:paraId="38FCD001" w14:textId="60966DFA" w:rsidR="00A23725" w:rsidRDefault="008C5987" w:rsidP="007E7376">
      <w:pPr>
        <w:jc w:val="center"/>
        <w:rPr>
          <w:rFonts w:eastAsiaTheme="majorEastAsia" w:cs="Arial"/>
          <w:b/>
          <w:color w:val="000000" w:themeColor="text1"/>
          <w:sz w:val="48"/>
          <w:szCs w:val="48"/>
          <w:lang w:val="en-US" w:eastAsia="ja-JP"/>
        </w:rPr>
      </w:pPr>
      <w:r w:rsidRPr="00824E5C">
        <w:rPr>
          <w:rFonts w:eastAsiaTheme="majorEastAsia" w:cs="Arial"/>
          <w:b/>
          <w:color w:val="000000" w:themeColor="text1"/>
          <w:sz w:val="48"/>
          <w:szCs w:val="48"/>
          <w:lang w:val="en-US" w:eastAsia="ja-JP"/>
        </w:rPr>
        <w:t>Financial Powers</w:t>
      </w:r>
    </w:p>
    <w:p w14:paraId="4AE9B134" w14:textId="165A0E9C" w:rsidR="0052608A" w:rsidRDefault="0052608A" w:rsidP="007E7376">
      <w:pPr>
        <w:jc w:val="center"/>
        <w:rPr>
          <w:rFonts w:eastAsiaTheme="majorEastAsia" w:cs="Arial"/>
          <w:b/>
          <w:color w:val="000000" w:themeColor="text1"/>
          <w:sz w:val="48"/>
          <w:szCs w:val="48"/>
          <w:lang w:val="en-US" w:eastAsia="ja-JP"/>
        </w:rPr>
      </w:pPr>
      <w:r>
        <w:rPr>
          <w:rFonts w:eastAsiaTheme="majorEastAsia" w:cs="Arial"/>
          <w:b/>
          <w:color w:val="000000" w:themeColor="text1"/>
          <w:sz w:val="48"/>
          <w:szCs w:val="48"/>
          <w:lang w:val="en-US" w:eastAsia="ja-JP"/>
        </w:rPr>
        <w:t>September 202</w:t>
      </w:r>
      <w:r w:rsidR="009760EF">
        <w:rPr>
          <w:rFonts w:eastAsiaTheme="majorEastAsia" w:cs="Arial"/>
          <w:b/>
          <w:color w:val="000000" w:themeColor="text1"/>
          <w:sz w:val="48"/>
          <w:szCs w:val="48"/>
          <w:lang w:val="en-US" w:eastAsia="ja-JP"/>
        </w:rPr>
        <w:t>4</w:t>
      </w:r>
      <w:r>
        <w:rPr>
          <w:rFonts w:eastAsiaTheme="majorEastAsia" w:cs="Arial"/>
          <w:b/>
          <w:color w:val="000000" w:themeColor="text1"/>
          <w:sz w:val="48"/>
          <w:szCs w:val="48"/>
          <w:lang w:val="en-US" w:eastAsia="ja-JP"/>
        </w:rPr>
        <w:t xml:space="preserve"> – August 202</w:t>
      </w:r>
      <w:r w:rsidR="009760EF">
        <w:rPr>
          <w:rFonts w:eastAsiaTheme="majorEastAsia" w:cs="Arial"/>
          <w:b/>
          <w:color w:val="000000" w:themeColor="text1"/>
          <w:sz w:val="48"/>
          <w:szCs w:val="48"/>
          <w:lang w:val="en-US" w:eastAsia="ja-JP"/>
        </w:rPr>
        <w:t>5</w:t>
      </w:r>
    </w:p>
    <w:p w14:paraId="24D43CBE" w14:textId="77777777" w:rsidR="009427E5" w:rsidRDefault="009427E5" w:rsidP="007E7376">
      <w:pPr>
        <w:jc w:val="center"/>
        <w:rPr>
          <w:rFonts w:eastAsiaTheme="majorEastAsia" w:cs="Arial"/>
          <w:b/>
          <w:color w:val="000000" w:themeColor="text1"/>
          <w:sz w:val="48"/>
          <w:szCs w:val="48"/>
          <w:lang w:val="en-US" w:eastAsia="ja-JP"/>
        </w:rPr>
      </w:pPr>
    </w:p>
    <w:p w14:paraId="7D2B0BE7" w14:textId="77777777" w:rsidR="009427E5" w:rsidRDefault="009427E5" w:rsidP="0052608A">
      <w:pPr>
        <w:rPr>
          <w:rFonts w:eastAsiaTheme="majorEastAsia" w:cs="Arial"/>
          <w:b/>
          <w:color w:val="000000" w:themeColor="text1"/>
          <w:sz w:val="48"/>
          <w:szCs w:val="48"/>
          <w:lang w:val="en-US" w:eastAsia="ja-JP"/>
        </w:rPr>
      </w:pPr>
    </w:p>
    <w:p w14:paraId="4EC54B21" w14:textId="77777777" w:rsidR="009427E5" w:rsidRPr="00824E5C" w:rsidRDefault="009427E5" w:rsidP="007E7376">
      <w:pPr>
        <w:jc w:val="center"/>
        <w:rPr>
          <w:rFonts w:eastAsiaTheme="majorEastAsia" w:cs="Arial"/>
          <w:b/>
          <w:color w:val="000000" w:themeColor="text1"/>
          <w:sz w:val="48"/>
          <w:szCs w:val="48"/>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9427E5" w:rsidRPr="009B32EC" w14:paraId="5D542147" w14:textId="77777777" w:rsidTr="00574D29">
        <w:trPr>
          <w:trHeight w:val="535"/>
        </w:trPr>
        <w:tc>
          <w:tcPr>
            <w:tcW w:w="4786" w:type="dxa"/>
          </w:tcPr>
          <w:p w14:paraId="6DD9093B" w14:textId="77777777" w:rsidR="009427E5" w:rsidRPr="009B32EC" w:rsidRDefault="009427E5" w:rsidP="00574D29">
            <w:r w:rsidRPr="009B32EC">
              <w:t>Date Approved</w:t>
            </w:r>
          </w:p>
        </w:tc>
        <w:tc>
          <w:tcPr>
            <w:tcW w:w="4786" w:type="dxa"/>
          </w:tcPr>
          <w:p w14:paraId="3A43FD2B" w14:textId="663106C5" w:rsidR="009427E5" w:rsidRPr="009B32EC" w:rsidRDefault="009760EF" w:rsidP="00574D29">
            <w:r>
              <w:t>1 September 2024</w:t>
            </w:r>
          </w:p>
        </w:tc>
      </w:tr>
      <w:tr w:rsidR="009427E5" w:rsidRPr="009B32EC" w14:paraId="6AC03E12" w14:textId="77777777" w:rsidTr="00574D29">
        <w:trPr>
          <w:trHeight w:val="568"/>
        </w:trPr>
        <w:tc>
          <w:tcPr>
            <w:tcW w:w="4786" w:type="dxa"/>
          </w:tcPr>
          <w:p w14:paraId="7F8D85A5" w14:textId="77777777" w:rsidR="009427E5" w:rsidRPr="009B32EC" w:rsidRDefault="009427E5" w:rsidP="00574D29">
            <w:r w:rsidRPr="009B32EC">
              <w:t>Signed by Chair of Governors</w:t>
            </w:r>
          </w:p>
        </w:tc>
        <w:tc>
          <w:tcPr>
            <w:tcW w:w="4786" w:type="dxa"/>
          </w:tcPr>
          <w:p w14:paraId="734CF782" w14:textId="77777777" w:rsidR="009427E5" w:rsidRPr="009B32EC" w:rsidRDefault="009427E5" w:rsidP="00574D29"/>
        </w:tc>
      </w:tr>
      <w:tr w:rsidR="009427E5" w:rsidRPr="009B32EC" w14:paraId="59CC9A52" w14:textId="77777777" w:rsidTr="00574D29">
        <w:trPr>
          <w:trHeight w:val="535"/>
        </w:trPr>
        <w:tc>
          <w:tcPr>
            <w:tcW w:w="4786" w:type="dxa"/>
          </w:tcPr>
          <w:p w14:paraId="6C1A1E84" w14:textId="77777777" w:rsidR="009427E5" w:rsidRPr="009B32EC" w:rsidRDefault="009427E5" w:rsidP="00574D29">
            <w:r w:rsidRPr="009B32EC">
              <w:t xml:space="preserve">Committee Delegated </w:t>
            </w:r>
          </w:p>
        </w:tc>
        <w:tc>
          <w:tcPr>
            <w:tcW w:w="4786" w:type="dxa"/>
          </w:tcPr>
          <w:p w14:paraId="41118FF6" w14:textId="2FDEC0E8" w:rsidR="009427E5" w:rsidRPr="009B32EC" w:rsidRDefault="009760EF" w:rsidP="00574D29">
            <w:r>
              <w:t>Finance</w:t>
            </w:r>
          </w:p>
        </w:tc>
      </w:tr>
      <w:tr w:rsidR="009427E5" w:rsidRPr="009B32EC" w14:paraId="06A28BA7" w14:textId="77777777" w:rsidTr="00574D29">
        <w:trPr>
          <w:trHeight w:val="568"/>
        </w:trPr>
        <w:tc>
          <w:tcPr>
            <w:tcW w:w="4786" w:type="dxa"/>
          </w:tcPr>
          <w:p w14:paraId="19492058" w14:textId="77777777" w:rsidR="009427E5" w:rsidRPr="009B32EC" w:rsidRDefault="009427E5" w:rsidP="00574D29">
            <w:r w:rsidRPr="009B32EC">
              <w:t>Renewal Period</w:t>
            </w:r>
          </w:p>
        </w:tc>
        <w:tc>
          <w:tcPr>
            <w:tcW w:w="4786" w:type="dxa"/>
          </w:tcPr>
          <w:p w14:paraId="256AA0AB" w14:textId="15914BD0" w:rsidR="009427E5" w:rsidRPr="009B32EC" w:rsidRDefault="009760EF" w:rsidP="00574D29">
            <w:r>
              <w:t>Annual</w:t>
            </w:r>
          </w:p>
        </w:tc>
      </w:tr>
    </w:tbl>
    <w:p w14:paraId="736F73D5" w14:textId="77777777" w:rsidR="00A23725" w:rsidRPr="000E4563" w:rsidRDefault="00A23725" w:rsidP="007E7376">
      <w:pPr>
        <w:rPr>
          <w:rFonts w:eastAsiaTheme="majorEastAsia" w:cs="Arial"/>
          <w:sz w:val="80"/>
          <w:szCs w:val="80"/>
          <w:lang w:val="en-US" w:eastAsia="ja-JP"/>
        </w:rPr>
        <w:sectPr w:rsidR="00A23725" w:rsidRPr="000E4563" w:rsidSect="00400FAE">
          <w:headerReference w:type="even" r:id="rId9"/>
          <w:headerReference w:type="default" r:id="rId10"/>
          <w:headerReference w:type="first" r:id="rId11"/>
          <w:pgSz w:w="11906" w:h="16838"/>
          <w:pgMar w:top="1440" w:right="1440" w:bottom="1440" w:left="1440" w:header="564" w:footer="708" w:gutter="0"/>
          <w:cols w:space="708"/>
          <w:docGrid w:linePitch="360"/>
        </w:sectPr>
      </w:pPr>
    </w:p>
    <w:p w14:paraId="05208296" w14:textId="77777777" w:rsidR="00824E5C" w:rsidRDefault="00824E5C" w:rsidP="007E7376">
      <w:pPr>
        <w:pStyle w:val="ListParagraph"/>
        <w:spacing w:before="120" w:after="120"/>
        <w:ind w:left="360"/>
        <w:rPr>
          <w:rFonts w:ascii="Arial" w:hAnsi="Arial" w:cs="Arial"/>
          <w:b/>
          <w:sz w:val="28"/>
        </w:rPr>
      </w:pPr>
    </w:p>
    <w:p w14:paraId="4B3E6186" w14:textId="77777777" w:rsidR="00824E5C" w:rsidRDefault="00824E5C" w:rsidP="007E7376">
      <w:pPr>
        <w:pStyle w:val="ListParagraph"/>
        <w:spacing w:before="120" w:after="120"/>
        <w:ind w:left="360"/>
        <w:rPr>
          <w:rFonts w:ascii="Arial" w:hAnsi="Arial" w:cs="Arial"/>
          <w:b/>
          <w:sz w:val="28"/>
        </w:rPr>
      </w:pPr>
    </w:p>
    <w:p w14:paraId="15BB98F5" w14:textId="77777777" w:rsidR="00A23725" w:rsidRPr="00972244" w:rsidRDefault="00A23725" w:rsidP="007E7376">
      <w:pPr>
        <w:pStyle w:val="ListParagraph"/>
        <w:spacing w:before="120" w:after="120"/>
        <w:ind w:left="360"/>
        <w:rPr>
          <w:rFonts w:ascii="Arial" w:hAnsi="Arial" w:cs="Arial"/>
          <w:b/>
          <w:sz w:val="28"/>
        </w:rPr>
      </w:pPr>
      <w:r w:rsidRPr="00972244">
        <w:rPr>
          <w:rFonts w:ascii="Arial" w:hAnsi="Arial" w:cs="Arial"/>
          <w:b/>
          <w:sz w:val="28"/>
        </w:rPr>
        <w:t>Contents:</w:t>
      </w:r>
    </w:p>
    <w:p w14:paraId="4D282E20" w14:textId="2A5B699A" w:rsidR="00A23725" w:rsidRPr="00824E5C" w:rsidRDefault="00A23725" w:rsidP="007E7376">
      <w:pPr>
        <w:ind w:left="717"/>
        <w:rPr>
          <w:rStyle w:val="Hyperlink"/>
          <w:rFonts w:cs="Arial"/>
          <w:color w:val="auto"/>
          <w:sz w:val="14"/>
        </w:rPr>
      </w:pPr>
      <w:r w:rsidRPr="00824E5C">
        <w:rPr>
          <w:rFonts w:cs="Arial"/>
        </w:rPr>
        <w:fldChar w:fldCharType="begin"/>
      </w:r>
      <w:r w:rsidR="00313D6E" w:rsidRPr="00824E5C">
        <w:rPr>
          <w:rFonts w:cs="Arial"/>
        </w:rPr>
        <w:instrText>HYPERLINK  \l "_Statement_of_intent_1"</w:instrText>
      </w:r>
      <w:r w:rsidRPr="00824E5C">
        <w:rPr>
          <w:rFonts w:cs="Arial"/>
        </w:rPr>
      </w:r>
      <w:r w:rsidRPr="00824E5C">
        <w:rPr>
          <w:rFonts w:cs="Arial"/>
        </w:rPr>
        <w:fldChar w:fldCharType="separate"/>
      </w:r>
      <w:r w:rsidRPr="00824E5C">
        <w:rPr>
          <w:rStyle w:val="Hyperlink"/>
          <w:rFonts w:cs="Arial"/>
          <w:color w:val="auto"/>
        </w:rPr>
        <w:t>Statement of intent</w:t>
      </w:r>
      <w:bookmarkStart w:id="8" w:name="b"/>
    </w:p>
    <w:p w14:paraId="7C9AAD04" w14:textId="566DBF81" w:rsidR="00E853E0" w:rsidRPr="00824E5C" w:rsidRDefault="00A23725" w:rsidP="007E7376">
      <w:pPr>
        <w:pStyle w:val="ListParagraph"/>
        <w:numPr>
          <w:ilvl w:val="0"/>
          <w:numId w:val="1"/>
        </w:numPr>
        <w:ind w:left="1077"/>
        <w:contextualSpacing w:val="0"/>
        <w:rPr>
          <w:rFonts w:ascii="Arial" w:hAnsi="Arial" w:cs="Arial"/>
        </w:rPr>
      </w:pPr>
      <w:r w:rsidRPr="00824E5C">
        <w:rPr>
          <w:rFonts w:ascii="Arial" w:hAnsi="Arial" w:cs="Arial"/>
        </w:rPr>
        <w:fldChar w:fldCharType="end"/>
      </w:r>
      <w:bookmarkEnd w:id="8"/>
      <w:r w:rsidR="00D57168" w:rsidRPr="00824E5C">
        <w:rPr>
          <w:rFonts w:ascii="Arial" w:hAnsi="Arial" w:cs="Arial"/>
        </w:rPr>
        <w:fldChar w:fldCharType="begin"/>
      </w:r>
      <w:r w:rsidR="00D57168" w:rsidRPr="00824E5C">
        <w:rPr>
          <w:rFonts w:ascii="Arial" w:hAnsi="Arial" w:cs="Arial"/>
        </w:rPr>
        <w:instrText xml:space="preserve"> HYPERLINK  \l "_Legal_framework_1" </w:instrText>
      </w:r>
      <w:r w:rsidR="00D57168" w:rsidRPr="00824E5C">
        <w:rPr>
          <w:rFonts w:ascii="Arial" w:hAnsi="Arial" w:cs="Arial"/>
        </w:rPr>
      </w:r>
      <w:r w:rsidR="00D57168" w:rsidRPr="00824E5C">
        <w:rPr>
          <w:rFonts w:ascii="Arial" w:hAnsi="Arial" w:cs="Arial"/>
        </w:rPr>
        <w:fldChar w:fldCharType="separate"/>
      </w:r>
      <w:r w:rsidR="00E853E0" w:rsidRPr="00824E5C">
        <w:rPr>
          <w:rStyle w:val="Hyperlink"/>
          <w:rFonts w:ascii="Arial" w:hAnsi="Arial" w:cs="Arial"/>
          <w:color w:val="auto"/>
        </w:rPr>
        <w:t>Legal framework</w:t>
      </w:r>
      <w:r w:rsidR="00D57168" w:rsidRPr="00824E5C">
        <w:rPr>
          <w:rFonts w:ascii="Arial" w:hAnsi="Arial" w:cs="Arial"/>
        </w:rPr>
        <w:fldChar w:fldCharType="end"/>
      </w:r>
    </w:p>
    <w:p w14:paraId="197E650F" w14:textId="18B258B8" w:rsidR="00A23725" w:rsidRPr="00824E5C" w:rsidRDefault="00D57168" w:rsidP="007E7376">
      <w:pPr>
        <w:pStyle w:val="ListParagraph"/>
        <w:numPr>
          <w:ilvl w:val="0"/>
          <w:numId w:val="1"/>
        </w:numPr>
        <w:ind w:left="1077"/>
        <w:contextualSpacing w:val="0"/>
        <w:rPr>
          <w:rStyle w:val="Hyperlink"/>
          <w:rFonts w:ascii="Arial" w:hAnsi="Arial" w:cs="Arial"/>
          <w:color w:val="auto"/>
        </w:rPr>
      </w:pPr>
      <w:r w:rsidRPr="00824E5C">
        <w:rPr>
          <w:rFonts w:ascii="Arial" w:hAnsi="Arial" w:cs="Arial"/>
        </w:rPr>
        <w:fldChar w:fldCharType="begin"/>
      </w:r>
      <w:r w:rsidRPr="00824E5C">
        <w:rPr>
          <w:rFonts w:ascii="Arial" w:hAnsi="Arial" w:cs="Arial"/>
        </w:rPr>
        <w:instrText xml:space="preserve"> HYPERLINK  \l "_Delegated_powers_of" </w:instrText>
      </w:r>
      <w:r w:rsidRPr="00824E5C">
        <w:rPr>
          <w:rFonts w:ascii="Arial" w:hAnsi="Arial" w:cs="Arial"/>
        </w:rPr>
      </w:r>
      <w:r w:rsidRPr="00824E5C">
        <w:rPr>
          <w:rFonts w:ascii="Arial" w:hAnsi="Arial" w:cs="Arial"/>
        </w:rPr>
        <w:fldChar w:fldCharType="separate"/>
      </w:r>
      <w:r w:rsidR="009A5CB6" w:rsidRPr="00824E5C">
        <w:rPr>
          <w:rStyle w:val="Hyperlink"/>
          <w:rFonts w:ascii="Arial" w:hAnsi="Arial" w:cs="Arial"/>
          <w:color w:val="auto"/>
        </w:rPr>
        <w:t>Responsibilities</w:t>
      </w:r>
      <w:r w:rsidR="008C5987" w:rsidRPr="00824E5C">
        <w:rPr>
          <w:rStyle w:val="Hyperlink"/>
          <w:rFonts w:ascii="Arial" w:hAnsi="Arial" w:cs="Arial"/>
          <w:color w:val="auto"/>
        </w:rPr>
        <w:t xml:space="preserve"> of the</w:t>
      </w:r>
      <w:r w:rsidR="008F3095" w:rsidRPr="00824E5C">
        <w:rPr>
          <w:rStyle w:val="Hyperlink"/>
          <w:rFonts w:ascii="Arial" w:hAnsi="Arial" w:cs="Arial"/>
          <w:color w:val="auto"/>
        </w:rPr>
        <w:t xml:space="preserve"> trust</w:t>
      </w:r>
      <w:r w:rsidR="008C5987" w:rsidRPr="00824E5C">
        <w:rPr>
          <w:rStyle w:val="Hyperlink"/>
          <w:rFonts w:ascii="Arial" w:hAnsi="Arial" w:cs="Arial"/>
          <w:color w:val="auto"/>
        </w:rPr>
        <w:t xml:space="preserve"> members</w:t>
      </w:r>
      <w:r w:rsidR="00A23725" w:rsidRPr="00824E5C">
        <w:rPr>
          <w:rStyle w:val="Hyperlink"/>
          <w:rFonts w:ascii="Arial" w:hAnsi="Arial" w:cs="Arial"/>
          <w:color w:val="auto"/>
        </w:rPr>
        <w:t xml:space="preserve"> </w:t>
      </w:r>
    </w:p>
    <w:p w14:paraId="20F7A55A" w14:textId="5AD7622E" w:rsidR="00A23725" w:rsidRPr="00824E5C" w:rsidRDefault="00D57168" w:rsidP="007E7376">
      <w:pPr>
        <w:pStyle w:val="ListParagraph"/>
        <w:numPr>
          <w:ilvl w:val="0"/>
          <w:numId w:val="1"/>
        </w:numPr>
        <w:ind w:left="1077"/>
        <w:contextualSpacing w:val="0"/>
        <w:rPr>
          <w:rStyle w:val="Hyperlink"/>
          <w:rFonts w:ascii="Arial" w:hAnsi="Arial" w:cs="Arial"/>
          <w:color w:val="auto"/>
        </w:rPr>
      </w:pPr>
      <w:r w:rsidRPr="00824E5C">
        <w:rPr>
          <w:rFonts w:ascii="Arial" w:hAnsi="Arial" w:cs="Arial"/>
        </w:rPr>
        <w:fldChar w:fldCharType="end"/>
      </w:r>
      <w:r w:rsidRPr="00824E5C">
        <w:rPr>
          <w:rStyle w:val="Hyperlink"/>
          <w:color w:val="auto"/>
        </w:rPr>
        <w:fldChar w:fldCharType="begin"/>
      </w:r>
      <w:r w:rsidRPr="00824E5C">
        <w:rPr>
          <w:rStyle w:val="Hyperlink"/>
          <w:color w:val="auto"/>
        </w:rPr>
        <w:instrText xml:space="preserve"> HYPERLINK  \l "_Delegated_powers_of_1" </w:instrText>
      </w:r>
      <w:r w:rsidRPr="00824E5C">
        <w:rPr>
          <w:rStyle w:val="Hyperlink"/>
          <w:color w:val="auto"/>
        </w:rPr>
      </w:r>
      <w:r w:rsidRPr="00824E5C">
        <w:rPr>
          <w:rStyle w:val="Hyperlink"/>
          <w:color w:val="auto"/>
        </w:rPr>
        <w:fldChar w:fldCharType="separate"/>
      </w:r>
      <w:r w:rsidR="009A5CB6" w:rsidRPr="00824E5C">
        <w:rPr>
          <w:rStyle w:val="Hyperlink"/>
          <w:color w:val="auto"/>
        </w:rPr>
        <w:t>Responsibilities</w:t>
      </w:r>
      <w:r w:rsidR="008C5987" w:rsidRPr="00824E5C">
        <w:rPr>
          <w:rStyle w:val="Hyperlink"/>
          <w:color w:val="auto"/>
        </w:rPr>
        <w:t xml:space="preserve"> of the </w:t>
      </w:r>
      <w:r w:rsidR="00511E2C" w:rsidRPr="00824E5C">
        <w:rPr>
          <w:rStyle w:val="Hyperlink"/>
          <w:color w:val="auto"/>
        </w:rPr>
        <w:t xml:space="preserve">trust </w:t>
      </w:r>
      <w:r w:rsidR="009A5CB6" w:rsidRPr="00824E5C">
        <w:rPr>
          <w:rStyle w:val="Hyperlink"/>
          <w:color w:val="auto"/>
        </w:rPr>
        <w:t>board</w:t>
      </w:r>
    </w:p>
    <w:p w14:paraId="578F2A50" w14:textId="64DD393C" w:rsidR="00A23725" w:rsidRPr="00824E5C" w:rsidRDefault="00D57168" w:rsidP="007E7376">
      <w:pPr>
        <w:pStyle w:val="ListParagraph"/>
        <w:numPr>
          <w:ilvl w:val="0"/>
          <w:numId w:val="1"/>
        </w:numPr>
        <w:ind w:left="1077"/>
        <w:contextualSpacing w:val="0"/>
        <w:rPr>
          <w:rStyle w:val="Hyperlink"/>
          <w:rFonts w:ascii="Arial" w:hAnsi="Arial" w:cs="Arial"/>
          <w:color w:val="auto"/>
        </w:rPr>
      </w:pPr>
      <w:r w:rsidRPr="00824E5C">
        <w:rPr>
          <w:rStyle w:val="Hyperlink"/>
          <w:color w:val="auto"/>
        </w:rPr>
        <w:fldChar w:fldCharType="end"/>
      </w:r>
      <w:r w:rsidR="00D81995" w:rsidRPr="00824E5C">
        <w:rPr>
          <w:rStyle w:val="Hyperlink"/>
          <w:color w:val="auto"/>
        </w:rPr>
        <w:fldChar w:fldCharType="begin"/>
      </w:r>
      <w:r w:rsidR="00D81995" w:rsidRPr="00824E5C">
        <w:rPr>
          <w:rStyle w:val="Hyperlink"/>
          <w:color w:val="auto"/>
        </w:rPr>
        <w:instrText xml:space="preserve"> HYPERLINK  \l "_Delegated_powers_of_2" </w:instrText>
      </w:r>
      <w:r w:rsidR="00D81995" w:rsidRPr="00824E5C">
        <w:rPr>
          <w:rStyle w:val="Hyperlink"/>
          <w:color w:val="auto"/>
        </w:rPr>
      </w:r>
      <w:r w:rsidR="00D81995" w:rsidRPr="00824E5C">
        <w:rPr>
          <w:rStyle w:val="Hyperlink"/>
          <w:color w:val="auto"/>
        </w:rPr>
        <w:fldChar w:fldCharType="separate"/>
      </w:r>
      <w:r w:rsidR="008C5987" w:rsidRPr="00824E5C">
        <w:rPr>
          <w:rStyle w:val="Hyperlink"/>
          <w:color w:val="auto"/>
        </w:rPr>
        <w:t>Delegated powers of the accounting officer</w:t>
      </w:r>
    </w:p>
    <w:p w14:paraId="2A5716E1" w14:textId="4ADDC9D3" w:rsidR="00A23725" w:rsidRPr="00824E5C" w:rsidRDefault="00D81995" w:rsidP="007E7376">
      <w:pPr>
        <w:pStyle w:val="ListParagraph"/>
        <w:numPr>
          <w:ilvl w:val="0"/>
          <w:numId w:val="1"/>
        </w:numPr>
        <w:ind w:left="1077"/>
        <w:contextualSpacing w:val="0"/>
        <w:rPr>
          <w:rStyle w:val="Hyperlink"/>
          <w:rFonts w:ascii="Arial" w:hAnsi="Arial" w:cs="Arial"/>
          <w:color w:val="auto"/>
        </w:rPr>
      </w:pPr>
      <w:r w:rsidRPr="00824E5C">
        <w:rPr>
          <w:rStyle w:val="Hyperlink"/>
          <w:color w:val="auto"/>
        </w:rPr>
        <w:fldChar w:fldCharType="end"/>
      </w:r>
      <w:hyperlink w:anchor="_Delegated_powers_of_3" w:history="1">
        <w:r w:rsidR="008C5987" w:rsidRPr="00824E5C">
          <w:rPr>
            <w:rStyle w:val="Hyperlink"/>
            <w:color w:val="auto"/>
          </w:rPr>
          <w:t xml:space="preserve">Delegated powers of the </w:t>
        </w:r>
        <w:r w:rsidR="009758BD">
          <w:rPr>
            <w:rStyle w:val="Hyperlink"/>
            <w:color w:val="auto"/>
          </w:rPr>
          <w:t>finance</w:t>
        </w:r>
        <w:r w:rsidR="000B209E" w:rsidRPr="00824E5C">
          <w:rPr>
            <w:rStyle w:val="Hyperlink"/>
            <w:color w:val="auto"/>
          </w:rPr>
          <w:t xml:space="preserve"> </w:t>
        </w:r>
        <w:r w:rsidR="009758BD">
          <w:rPr>
            <w:rStyle w:val="Hyperlink"/>
            <w:color w:val="auto"/>
          </w:rPr>
          <w:t>c</w:t>
        </w:r>
        <w:r w:rsidR="000B209E" w:rsidRPr="00824E5C">
          <w:rPr>
            <w:rStyle w:val="Hyperlink"/>
            <w:color w:val="auto"/>
          </w:rPr>
          <w:t>ommittee</w:t>
        </w:r>
      </w:hyperlink>
    </w:p>
    <w:p w14:paraId="4503504D" w14:textId="7A8DF575" w:rsidR="00ED04DD" w:rsidRPr="00824E5C" w:rsidRDefault="00ED04DD" w:rsidP="007E7376">
      <w:pPr>
        <w:pStyle w:val="ListParagraph"/>
        <w:numPr>
          <w:ilvl w:val="0"/>
          <w:numId w:val="1"/>
        </w:numPr>
        <w:ind w:left="1077"/>
        <w:contextualSpacing w:val="0"/>
        <w:rPr>
          <w:rFonts w:ascii="Arial" w:hAnsi="Arial" w:cs="Arial"/>
          <w:u w:val="single"/>
        </w:rPr>
      </w:pPr>
      <w:hyperlink w:anchor="renumeration" w:history="1">
        <w:r w:rsidRPr="00824E5C">
          <w:rPr>
            <w:rStyle w:val="Hyperlink"/>
            <w:rFonts w:ascii="Arial" w:hAnsi="Arial" w:cs="Arial"/>
            <w:color w:val="auto"/>
          </w:rPr>
          <w:t>Delegated powers of the remuneration committee</w:t>
        </w:r>
      </w:hyperlink>
    </w:p>
    <w:p w14:paraId="257439F7" w14:textId="4E3B6D2D" w:rsidR="003E5E63" w:rsidRPr="00824E5C" w:rsidRDefault="003E5E63" w:rsidP="007E7376">
      <w:pPr>
        <w:pStyle w:val="ListParagraph"/>
        <w:numPr>
          <w:ilvl w:val="0"/>
          <w:numId w:val="1"/>
        </w:numPr>
        <w:ind w:left="1077"/>
        <w:contextualSpacing w:val="0"/>
        <w:rPr>
          <w:rStyle w:val="Hyperlink"/>
          <w:rFonts w:ascii="Arial" w:hAnsi="Arial" w:cs="Arial"/>
          <w:color w:val="auto"/>
        </w:rPr>
      </w:pPr>
      <w:r w:rsidRPr="00824E5C">
        <w:rPr>
          <w:rFonts w:ascii="Arial" w:hAnsi="Arial" w:cs="Arial"/>
        </w:rPr>
        <w:fldChar w:fldCharType="begin"/>
      </w:r>
      <w:r w:rsidRPr="00824E5C">
        <w:rPr>
          <w:rFonts w:ascii="Arial" w:hAnsi="Arial" w:cs="Arial"/>
        </w:rPr>
        <w:instrText xml:space="preserve"> HYPERLINK  \l "_Delegated_powers_of_7" </w:instrText>
      </w:r>
      <w:r w:rsidRPr="00824E5C">
        <w:rPr>
          <w:rFonts w:ascii="Arial" w:hAnsi="Arial" w:cs="Arial"/>
        </w:rPr>
      </w:r>
      <w:r w:rsidRPr="00824E5C">
        <w:rPr>
          <w:rFonts w:ascii="Arial" w:hAnsi="Arial" w:cs="Arial"/>
        </w:rPr>
        <w:fldChar w:fldCharType="separate"/>
      </w:r>
      <w:r w:rsidRPr="00824E5C">
        <w:rPr>
          <w:rStyle w:val="Hyperlink"/>
          <w:rFonts w:ascii="Arial" w:hAnsi="Arial" w:cs="Arial"/>
          <w:color w:val="auto"/>
        </w:rPr>
        <w:t xml:space="preserve">Delegated powers of the </w:t>
      </w:r>
      <w:r w:rsidR="00ED04DD" w:rsidRPr="00824E5C">
        <w:rPr>
          <w:rStyle w:val="Hyperlink"/>
          <w:rFonts w:ascii="Arial" w:hAnsi="Arial" w:cs="Arial"/>
          <w:color w:val="auto"/>
        </w:rPr>
        <w:t>audit committee</w:t>
      </w:r>
    </w:p>
    <w:p w14:paraId="6A158B14" w14:textId="01A22F9D" w:rsidR="00A23725" w:rsidRPr="00824E5C" w:rsidRDefault="003E5E63" w:rsidP="007E7376">
      <w:pPr>
        <w:pStyle w:val="ListParagraph"/>
        <w:numPr>
          <w:ilvl w:val="0"/>
          <w:numId w:val="1"/>
        </w:numPr>
        <w:ind w:left="1077"/>
        <w:contextualSpacing w:val="0"/>
        <w:rPr>
          <w:rStyle w:val="Hyperlink"/>
          <w:rFonts w:ascii="Arial" w:hAnsi="Arial" w:cs="Arial"/>
          <w:color w:val="auto"/>
          <w:u w:val="none"/>
        </w:rPr>
      </w:pPr>
      <w:r w:rsidRPr="00824E5C">
        <w:rPr>
          <w:rFonts w:ascii="Arial" w:hAnsi="Arial" w:cs="Arial"/>
        </w:rPr>
        <w:fldChar w:fldCharType="end"/>
      </w:r>
      <w:hyperlink w:anchor="_Delegated_powers_of_5" w:history="1">
        <w:r w:rsidR="008C5987" w:rsidRPr="00824E5C">
          <w:rPr>
            <w:rStyle w:val="Hyperlink"/>
            <w:color w:val="auto"/>
          </w:rPr>
          <w:t xml:space="preserve">Delegated powers of the </w:t>
        </w:r>
        <w:r w:rsidR="00242171" w:rsidRPr="00824E5C">
          <w:rPr>
            <w:rStyle w:val="Hyperlink"/>
            <w:color w:val="auto"/>
          </w:rPr>
          <w:t>Academy Principal</w:t>
        </w:r>
      </w:hyperlink>
    </w:p>
    <w:p w14:paraId="7F71D459" w14:textId="3E06EFB9" w:rsidR="008C5987" w:rsidRPr="00824E5C" w:rsidRDefault="008C5987" w:rsidP="007E7376">
      <w:pPr>
        <w:pStyle w:val="ListParagraph"/>
        <w:numPr>
          <w:ilvl w:val="0"/>
          <w:numId w:val="1"/>
        </w:numPr>
        <w:ind w:left="1077"/>
        <w:contextualSpacing w:val="0"/>
        <w:rPr>
          <w:rStyle w:val="Hyperlink"/>
          <w:rFonts w:ascii="Arial" w:hAnsi="Arial" w:cs="Arial"/>
          <w:color w:val="auto"/>
          <w:u w:val="none"/>
        </w:rPr>
      </w:pPr>
      <w:hyperlink w:anchor="_Delegated_powers_of_6" w:history="1">
        <w:r w:rsidRPr="00824E5C">
          <w:rPr>
            <w:rStyle w:val="Hyperlink"/>
            <w:rFonts w:ascii="Arial" w:hAnsi="Arial" w:cs="Arial"/>
            <w:color w:val="auto"/>
          </w:rPr>
          <w:t xml:space="preserve">Delegated powers of the </w:t>
        </w:r>
        <w:r w:rsidR="00242171" w:rsidRPr="00824E5C">
          <w:rPr>
            <w:rStyle w:val="Hyperlink"/>
            <w:rFonts w:ascii="Arial" w:hAnsi="Arial" w:cs="Arial"/>
            <w:color w:val="auto"/>
          </w:rPr>
          <w:t>Business Manager</w:t>
        </w:r>
      </w:hyperlink>
      <w:r w:rsidR="00B00E9C">
        <w:rPr>
          <w:rStyle w:val="Hyperlink"/>
          <w:rFonts w:ascii="Arial" w:hAnsi="Arial" w:cs="Arial"/>
          <w:color w:val="auto"/>
        </w:rPr>
        <w:t xml:space="preserve"> and Chief Financial Officer</w:t>
      </w:r>
    </w:p>
    <w:p w14:paraId="2BCB5335" w14:textId="48E1E96E" w:rsidR="00AF674F" w:rsidRPr="00824E5C" w:rsidRDefault="00AF674F" w:rsidP="007E7376">
      <w:pPr>
        <w:pStyle w:val="ListParagraph"/>
        <w:numPr>
          <w:ilvl w:val="0"/>
          <w:numId w:val="1"/>
        </w:numPr>
        <w:ind w:left="1077"/>
        <w:contextualSpacing w:val="0"/>
        <w:rPr>
          <w:rStyle w:val="Hyperlink"/>
          <w:rFonts w:ascii="Arial" w:hAnsi="Arial" w:cs="Arial"/>
          <w:color w:val="auto"/>
          <w:u w:val="none"/>
        </w:rPr>
      </w:pPr>
      <w:hyperlink w:anchor="Otherschoolstaff" w:history="1">
        <w:r w:rsidRPr="00824E5C">
          <w:rPr>
            <w:rStyle w:val="Hyperlink"/>
            <w:rFonts w:ascii="Arial" w:hAnsi="Arial" w:cs="Arial"/>
            <w:color w:val="auto"/>
          </w:rPr>
          <w:t>Delegated powers of other school staff</w:t>
        </w:r>
      </w:hyperlink>
    </w:p>
    <w:p w14:paraId="155735D0" w14:textId="77777777" w:rsidR="00AF674F" w:rsidRPr="00824E5C" w:rsidRDefault="008C5987" w:rsidP="007E7376">
      <w:pPr>
        <w:pStyle w:val="ListParagraph"/>
        <w:numPr>
          <w:ilvl w:val="0"/>
          <w:numId w:val="1"/>
        </w:numPr>
        <w:ind w:left="1077"/>
        <w:contextualSpacing w:val="0"/>
        <w:rPr>
          <w:rStyle w:val="Hyperlink"/>
          <w:rFonts w:ascii="Arial" w:hAnsi="Arial" w:cs="Arial"/>
          <w:color w:val="auto"/>
          <w:u w:val="none"/>
        </w:rPr>
      </w:pPr>
      <w:hyperlink w:anchor="_General_financial_management" w:history="1">
        <w:r w:rsidRPr="00824E5C">
          <w:rPr>
            <w:rStyle w:val="Hyperlink"/>
            <w:rFonts w:ascii="Arial" w:hAnsi="Arial" w:cs="Arial"/>
            <w:color w:val="auto"/>
          </w:rPr>
          <w:t>General financial management</w:t>
        </w:r>
      </w:hyperlink>
    </w:p>
    <w:p w14:paraId="5FE23227" w14:textId="58D833BC" w:rsidR="008C5987" w:rsidRPr="00824E5C" w:rsidRDefault="00ED04DD" w:rsidP="007E7376">
      <w:pPr>
        <w:pStyle w:val="ListParagraph"/>
        <w:numPr>
          <w:ilvl w:val="0"/>
          <w:numId w:val="1"/>
        </w:numPr>
        <w:ind w:left="1077"/>
        <w:contextualSpacing w:val="0"/>
        <w:rPr>
          <w:rStyle w:val="Hyperlink"/>
          <w:rFonts w:ascii="Arial" w:hAnsi="Arial" w:cs="Arial"/>
          <w:color w:val="auto"/>
          <w:u w:val="none"/>
        </w:rPr>
      </w:pPr>
      <w:hyperlink w:anchor="Policyreview" w:history="1">
        <w:r w:rsidRPr="00824E5C">
          <w:rPr>
            <w:rStyle w:val="Hyperlink"/>
            <w:rFonts w:ascii="Arial" w:hAnsi="Arial" w:cs="Arial"/>
            <w:color w:val="auto"/>
          </w:rPr>
          <w:t>Monitoring and</w:t>
        </w:r>
        <w:r w:rsidR="00AF674F" w:rsidRPr="00824E5C">
          <w:rPr>
            <w:rStyle w:val="Hyperlink"/>
            <w:rFonts w:ascii="Arial" w:hAnsi="Arial" w:cs="Arial"/>
            <w:color w:val="auto"/>
          </w:rPr>
          <w:t xml:space="preserve"> review</w:t>
        </w:r>
      </w:hyperlink>
    </w:p>
    <w:p w14:paraId="57857A32" w14:textId="7F8BCB70" w:rsidR="00A23725" w:rsidRPr="00824E5C" w:rsidRDefault="00313D6E" w:rsidP="007E7376">
      <w:pPr>
        <w:ind w:left="717"/>
        <w:rPr>
          <w:rFonts w:cs="Arial"/>
          <w:b/>
        </w:rPr>
      </w:pPr>
      <w:r w:rsidRPr="00824E5C">
        <w:rPr>
          <w:rFonts w:cs="Arial"/>
          <w:b/>
        </w:rPr>
        <w:t>Appendix</w:t>
      </w:r>
    </w:p>
    <w:p w14:paraId="36ADBAA3" w14:textId="2AA4DE3D" w:rsidR="00A23725" w:rsidRPr="00824E5C" w:rsidRDefault="008C5987" w:rsidP="007E7376">
      <w:pPr>
        <w:pStyle w:val="ListParagraph"/>
        <w:numPr>
          <w:ilvl w:val="1"/>
          <w:numId w:val="1"/>
        </w:numPr>
        <w:rPr>
          <w:rFonts w:cs="Arial"/>
        </w:rPr>
      </w:pPr>
      <w:hyperlink w:anchor="AppendixTitle1" w:history="1">
        <w:r w:rsidRPr="00824E5C">
          <w:rPr>
            <w:rStyle w:val="Hyperlink"/>
            <w:rFonts w:cs="Arial"/>
            <w:color w:val="auto"/>
          </w:rPr>
          <w:t>Authorisation Levels</w:t>
        </w:r>
      </w:hyperlink>
    </w:p>
    <w:p w14:paraId="41DDDD53" w14:textId="77777777" w:rsidR="00A23725" w:rsidRPr="00F165AD" w:rsidRDefault="00A23725" w:rsidP="007E7376">
      <w:pPr>
        <w:rPr>
          <w:rFonts w:cs="Arial"/>
        </w:rPr>
      </w:pPr>
    </w:p>
    <w:p w14:paraId="77809862" w14:textId="77777777" w:rsidR="00A23725" w:rsidRPr="00F165AD" w:rsidRDefault="00A23725" w:rsidP="007E7376">
      <w:pPr>
        <w:rPr>
          <w:rFonts w:cs="Arial"/>
          <w:sz w:val="32"/>
          <w:szCs w:val="32"/>
        </w:rPr>
      </w:pPr>
    </w:p>
    <w:p w14:paraId="1B62E2A3" w14:textId="77777777" w:rsidR="00A23725" w:rsidRPr="00F165AD" w:rsidRDefault="00A23725" w:rsidP="007E7376">
      <w:pPr>
        <w:rPr>
          <w:rFonts w:cs="Arial"/>
          <w:sz w:val="32"/>
          <w:szCs w:val="32"/>
        </w:rPr>
      </w:pPr>
      <w:r w:rsidRPr="00F165AD">
        <w:rPr>
          <w:rFonts w:cs="Arial"/>
          <w:sz w:val="32"/>
          <w:szCs w:val="32"/>
        </w:rPr>
        <w:br w:type="page"/>
      </w:r>
      <w:bookmarkStart w:id="9" w:name="_Statement_of_Intent"/>
      <w:bookmarkEnd w:id="9"/>
    </w:p>
    <w:p w14:paraId="13C9E93E" w14:textId="77777777" w:rsidR="009427E5" w:rsidRDefault="009427E5" w:rsidP="007E7376">
      <w:pPr>
        <w:pStyle w:val="Heading2"/>
        <w:numPr>
          <w:ilvl w:val="0"/>
          <w:numId w:val="0"/>
        </w:numPr>
        <w:spacing w:after="200"/>
        <w:ind w:left="578" w:hanging="578"/>
        <w:jc w:val="both"/>
        <w:rPr>
          <w:rFonts w:asciiTheme="minorHAnsi" w:hAnsiTheme="minorHAnsi" w:cstheme="minorHAnsi"/>
          <w:b/>
          <w:sz w:val="28"/>
          <w:szCs w:val="22"/>
        </w:rPr>
      </w:pPr>
      <w:bookmarkStart w:id="10" w:name="_Statement_of_intent_1"/>
      <w:bookmarkStart w:id="11" w:name="statment"/>
      <w:bookmarkStart w:id="12" w:name="statement"/>
      <w:bookmarkEnd w:id="10"/>
    </w:p>
    <w:p w14:paraId="4405AA44" w14:textId="77777777" w:rsidR="009427E5" w:rsidRDefault="009427E5" w:rsidP="007E7376">
      <w:pPr>
        <w:pStyle w:val="Heading2"/>
        <w:numPr>
          <w:ilvl w:val="0"/>
          <w:numId w:val="0"/>
        </w:numPr>
        <w:spacing w:after="200"/>
        <w:ind w:left="578" w:hanging="578"/>
        <w:jc w:val="both"/>
        <w:rPr>
          <w:rFonts w:asciiTheme="minorHAnsi" w:hAnsiTheme="minorHAnsi" w:cstheme="minorHAnsi"/>
          <w:b/>
          <w:sz w:val="28"/>
          <w:szCs w:val="22"/>
        </w:rPr>
      </w:pPr>
    </w:p>
    <w:p w14:paraId="2861DC21" w14:textId="77777777" w:rsidR="009427E5" w:rsidRDefault="009427E5" w:rsidP="007E7376">
      <w:pPr>
        <w:pStyle w:val="Heading2"/>
        <w:numPr>
          <w:ilvl w:val="0"/>
          <w:numId w:val="0"/>
        </w:numPr>
        <w:spacing w:after="200"/>
        <w:ind w:left="578" w:hanging="578"/>
        <w:jc w:val="both"/>
        <w:rPr>
          <w:rFonts w:asciiTheme="minorHAnsi" w:hAnsiTheme="minorHAnsi" w:cstheme="minorHAnsi"/>
          <w:b/>
          <w:sz w:val="28"/>
          <w:szCs w:val="22"/>
        </w:rPr>
      </w:pPr>
    </w:p>
    <w:p w14:paraId="3B9D4495" w14:textId="77777777" w:rsidR="00A23725" w:rsidRPr="00260C74" w:rsidRDefault="00A23725" w:rsidP="007E7376">
      <w:pPr>
        <w:pStyle w:val="Heading2"/>
        <w:numPr>
          <w:ilvl w:val="0"/>
          <w:numId w:val="0"/>
        </w:numPr>
        <w:spacing w:after="200"/>
        <w:ind w:left="578" w:hanging="578"/>
        <w:jc w:val="both"/>
        <w:rPr>
          <w:rFonts w:asciiTheme="minorHAnsi" w:hAnsiTheme="minorHAnsi" w:cstheme="minorHAnsi"/>
          <w:b/>
          <w:sz w:val="28"/>
          <w:szCs w:val="22"/>
        </w:rPr>
      </w:pPr>
      <w:r>
        <w:rPr>
          <w:rFonts w:asciiTheme="minorHAnsi" w:hAnsiTheme="minorHAnsi" w:cstheme="minorHAnsi"/>
          <w:b/>
          <w:sz w:val="28"/>
          <w:szCs w:val="22"/>
        </w:rPr>
        <w:t xml:space="preserve">Statement of intent </w:t>
      </w:r>
    </w:p>
    <w:bookmarkEnd w:id="11"/>
    <w:bookmarkEnd w:id="12"/>
    <w:p w14:paraId="1B0F9688" w14:textId="24033076" w:rsidR="008C5987" w:rsidRPr="008C5987" w:rsidRDefault="008C5987" w:rsidP="00CD45C2">
      <w:r w:rsidRPr="008C5987">
        <w:t xml:space="preserve">In accordance with the ESFA’s </w:t>
      </w:r>
      <w:r w:rsidR="009B303D">
        <w:t>‘</w:t>
      </w:r>
      <w:r w:rsidRPr="008C5987">
        <w:t xml:space="preserve">Academies </w:t>
      </w:r>
      <w:r w:rsidR="009B303D">
        <w:t>f</w:t>
      </w:r>
      <w:r w:rsidRPr="008C5987">
        <w:t xml:space="preserve">inancial </w:t>
      </w:r>
      <w:r w:rsidR="009B303D">
        <w:t>h</w:t>
      </w:r>
      <w:r w:rsidRPr="008C5987">
        <w:t>andbook</w:t>
      </w:r>
      <w:r w:rsidR="009B303D">
        <w:t>’</w:t>
      </w:r>
      <w:r w:rsidR="00835F21">
        <w:t xml:space="preserve"> (AFH)</w:t>
      </w:r>
      <w:r w:rsidRPr="008C5987">
        <w:t xml:space="preserve">, this document outlines the delegation of financial powers within </w:t>
      </w:r>
      <w:r w:rsidR="00CD45C2" w:rsidRPr="00CD45C2">
        <w:t>Broughton Jewish Primary Academy Trust</w:t>
      </w:r>
      <w:r w:rsidRPr="008C5987">
        <w:t xml:space="preserve"> </w:t>
      </w:r>
    </w:p>
    <w:p w14:paraId="400E9D72" w14:textId="7753A0D7" w:rsidR="008C5987" w:rsidRPr="008C5987" w:rsidRDefault="008C5987" w:rsidP="007E7376">
      <w:pPr>
        <w:tabs>
          <w:tab w:val="left" w:pos="3686"/>
        </w:tabs>
        <w:jc w:val="both"/>
        <w:rPr>
          <w:rFonts w:asciiTheme="minorHAnsi" w:hAnsiTheme="minorHAnsi" w:cstheme="minorBidi"/>
        </w:rPr>
      </w:pPr>
      <w:r w:rsidRPr="008C5987">
        <w:rPr>
          <w:rFonts w:asciiTheme="minorHAnsi" w:hAnsiTheme="minorHAnsi" w:cstheme="minorBidi"/>
        </w:rPr>
        <w:t xml:space="preserve">The </w:t>
      </w:r>
      <w:r w:rsidR="009B303D">
        <w:rPr>
          <w:rFonts w:asciiTheme="minorHAnsi" w:hAnsiTheme="minorHAnsi" w:cstheme="minorBidi"/>
        </w:rPr>
        <w:t>trust</w:t>
      </w:r>
      <w:r w:rsidR="009A5CB6">
        <w:rPr>
          <w:rFonts w:asciiTheme="minorHAnsi" w:hAnsiTheme="minorHAnsi" w:cstheme="minorBidi"/>
        </w:rPr>
        <w:t xml:space="preserve"> i</w:t>
      </w:r>
      <w:r w:rsidRPr="008C5987">
        <w:rPr>
          <w:rFonts w:asciiTheme="minorHAnsi" w:hAnsiTheme="minorHAnsi" w:cstheme="minorBidi"/>
        </w:rPr>
        <w:t>s committed to providing a high standard of education and care, whilst ensuring that value for money</w:t>
      </w:r>
      <w:r w:rsidR="001635B2">
        <w:rPr>
          <w:rFonts w:asciiTheme="minorHAnsi" w:hAnsiTheme="minorHAnsi" w:cstheme="minorBidi"/>
        </w:rPr>
        <w:t xml:space="preserve">, </w:t>
      </w:r>
      <w:r w:rsidR="001635B2">
        <w:t>high standards of financial propriety, compliance with the trust’s legal responsibilities and efficient use of resources</w:t>
      </w:r>
      <w:r w:rsidRPr="008C5987">
        <w:rPr>
          <w:rFonts w:asciiTheme="minorHAnsi" w:hAnsiTheme="minorHAnsi" w:cstheme="minorBidi"/>
        </w:rPr>
        <w:t xml:space="preserve"> is achieved. The internal control systems outlined in this document will be </w:t>
      </w:r>
      <w:proofErr w:type="gramStart"/>
      <w:r w:rsidRPr="008C5987">
        <w:rPr>
          <w:rFonts w:asciiTheme="minorHAnsi" w:hAnsiTheme="minorHAnsi" w:cstheme="minorBidi"/>
        </w:rPr>
        <w:t>implemented at all times</w:t>
      </w:r>
      <w:proofErr w:type="gramEnd"/>
      <w:r w:rsidRPr="008C5987">
        <w:rPr>
          <w:rFonts w:asciiTheme="minorHAnsi" w:hAnsiTheme="minorHAnsi" w:cstheme="minorBidi"/>
        </w:rPr>
        <w:t xml:space="preserve"> with the aim of ensuring that the trust acts in an effective and transparent manner. </w:t>
      </w:r>
    </w:p>
    <w:p w14:paraId="0BBB078B" w14:textId="036DCBEB" w:rsidR="008C5987" w:rsidRPr="00CD45C2" w:rsidRDefault="008C5987" w:rsidP="007E7376">
      <w:pPr>
        <w:tabs>
          <w:tab w:val="left" w:pos="3686"/>
        </w:tabs>
        <w:jc w:val="both"/>
        <w:rPr>
          <w:rFonts w:asciiTheme="minorHAnsi" w:hAnsiTheme="minorHAnsi" w:cstheme="minorBidi"/>
          <w:color w:val="000000" w:themeColor="text1"/>
        </w:rPr>
      </w:pPr>
      <w:r w:rsidRPr="008C5987">
        <w:rPr>
          <w:rFonts w:asciiTheme="minorHAnsi" w:hAnsiTheme="minorHAnsi" w:cstheme="minorBidi"/>
        </w:rPr>
        <w:t xml:space="preserve">This Scheme of Delegation of Financial Powers has been reviewed and approved by </w:t>
      </w:r>
      <w:r w:rsidR="009B303D">
        <w:rPr>
          <w:rFonts w:asciiTheme="minorHAnsi" w:hAnsiTheme="minorHAnsi" w:cstheme="minorBidi"/>
        </w:rPr>
        <w:t xml:space="preserve">the </w:t>
      </w:r>
      <w:r w:rsidR="009758BD">
        <w:rPr>
          <w:rFonts w:asciiTheme="minorHAnsi" w:hAnsiTheme="minorHAnsi" w:cstheme="minorBidi"/>
          <w:color w:val="000000" w:themeColor="text1"/>
        </w:rPr>
        <w:t>Finance</w:t>
      </w:r>
      <w:r w:rsidR="00CD45C2" w:rsidRPr="00CD45C2">
        <w:rPr>
          <w:rFonts w:asciiTheme="minorHAnsi" w:hAnsiTheme="minorHAnsi" w:cstheme="minorBidi"/>
          <w:color w:val="000000" w:themeColor="text1"/>
        </w:rPr>
        <w:t>s Committee</w:t>
      </w:r>
      <w:r w:rsidRPr="00CD45C2">
        <w:rPr>
          <w:rFonts w:asciiTheme="minorHAnsi" w:hAnsiTheme="minorHAnsi" w:cstheme="minorBidi"/>
          <w:color w:val="000000" w:themeColor="text1"/>
        </w:rPr>
        <w:t xml:space="preserve"> and will be reviewed and updated on an annual basis. </w:t>
      </w:r>
    </w:p>
    <w:p w14:paraId="2887C6C7" w14:textId="77777777" w:rsidR="00A23725" w:rsidRDefault="00A23725" w:rsidP="007E7376">
      <w:pPr>
        <w:ind w:left="417"/>
        <w:jc w:val="both"/>
      </w:pPr>
    </w:p>
    <w:p w14:paraId="7BE1830D" w14:textId="77777777" w:rsidR="00A23725" w:rsidRDefault="00A23725" w:rsidP="007E7376">
      <w:pPr>
        <w:ind w:left="417"/>
        <w:jc w:val="both"/>
      </w:pPr>
    </w:p>
    <w:p w14:paraId="156D83DC" w14:textId="27F92714" w:rsidR="00A23725" w:rsidRDefault="00390E2D" w:rsidP="007E7376">
      <w:pPr>
        <w:ind w:left="417"/>
        <w:jc w:val="both"/>
      </w:pPr>
      <w:r>
        <w:t xml:space="preserve"> </w:t>
      </w:r>
      <w:r w:rsidR="00A23725">
        <w:t xml:space="preserve"> </w:t>
      </w:r>
    </w:p>
    <w:p w14:paraId="25684566" w14:textId="77777777" w:rsidR="00A23725" w:rsidRDefault="00A23725" w:rsidP="007E7376">
      <w:pPr>
        <w:ind w:left="417"/>
        <w:jc w:val="both"/>
      </w:pPr>
    </w:p>
    <w:p w14:paraId="2C3B0F8E" w14:textId="77777777" w:rsidR="00A23725" w:rsidRDefault="00A23725" w:rsidP="007E7376">
      <w:pPr>
        <w:ind w:left="417"/>
        <w:jc w:val="both"/>
      </w:pPr>
    </w:p>
    <w:p w14:paraId="70D08895" w14:textId="77777777" w:rsidR="00A23725" w:rsidRDefault="00A23725" w:rsidP="007E7376">
      <w:pPr>
        <w:ind w:left="417"/>
        <w:jc w:val="both"/>
      </w:pPr>
    </w:p>
    <w:p w14:paraId="0B14BFB5" w14:textId="77777777" w:rsidR="00A23725" w:rsidRDefault="00A23725" w:rsidP="007E7376">
      <w:pPr>
        <w:ind w:left="417"/>
        <w:jc w:val="both"/>
      </w:pPr>
    </w:p>
    <w:p w14:paraId="360B34BB" w14:textId="77777777" w:rsidR="00A23725" w:rsidRDefault="00A23725" w:rsidP="007E7376">
      <w:pPr>
        <w:ind w:left="417"/>
        <w:jc w:val="both"/>
      </w:pPr>
    </w:p>
    <w:p w14:paraId="5074FC7D" w14:textId="77777777" w:rsidR="009427E5" w:rsidRDefault="009427E5" w:rsidP="007E7376">
      <w:pPr>
        <w:jc w:val="both"/>
      </w:pPr>
    </w:p>
    <w:p w14:paraId="01E01A91" w14:textId="77777777" w:rsidR="009427E5" w:rsidRDefault="009427E5" w:rsidP="007E7376">
      <w:pPr>
        <w:jc w:val="both"/>
      </w:pPr>
    </w:p>
    <w:p w14:paraId="0F1C4E70" w14:textId="77777777" w:rsidR="00A23725" w:rsidRDefault="00A23725" w:rsidP="007E7376">
      <w:pPr>
        <w:jc w:val="both"/>
      </w:pPr>
    </w:p>
    <w:p w14:paraId="4BF9CE7E" w14:textId="77777777" w:rsidR="00A23725" w:rsidRDefault="00A23725" w:rsidP="007E7376">
      <w:pPr>
        <w:jc w:val="both"/>
        <w:sectPr w:rsidR="00A23725" w:rsidSect="00400FAE">
          <w:pgSz w:w="11906" w:h="16838"/>
          <w:pgMar w:top="1440" w:right="1440" w:bottom="1440" w:left="1440" w:header="709" w:footer="709" w:gutter="0"/>
          <w:pgNumType w:start="0"/>
          <w:cols w:space="708"/>
          <w:docGrid w:linePitch="360"/>
        </w:sectPr>
      </w:pPr>
    </w:p>
    <w:p w14:paraId="49738D44" w14:textId="77777777" w:rsidR="00A23725" w:rsidRDefault="00A23725" w:rsidP="00CD45C2">
      <w:pPr>
        <w:pStyle w:val="Heading10"/>
        <w:spacing w:after="0"/>
        <w:ind w:left="357" w:hanging="357"/>
      </w:pPr>
      <w:bookmarkStart w:id="13" w:name="_Legal_framework_1"/>
      <w:bookmarkEnd w:id="13"/>
      <w:r w:rsidRPr="00073D73">
        <w:t>Legal framework</w:t>
      </w:r>
    </w:p>
    <w:p w14:paraId="20159C75" w14:textId="77777777" w:rsidR="00B00E9C" w:rsidRPr="00B00E9C" w:rsidRDefault="00B00E9C" w:rsidP="00B00E9C"/>
    <w:p w14:paraId="70FF4D35" w14:textId="2FC86239" w:rsidR="00A23725" w:rsidRPr="00AC0364" w:rsidRDefault="00A23725" w:rsidP="00400FAE">
      <w:pPr>
        <w:pStyle w:val="TSB-Level2Numbers"/>
        <w:spacing w:after="0" w:line="240" w:lineRule="auto"/>
      </w:pPr>
      <w:r w:rsidRPr="00AC0364">
        <w:t xml:space="preserve">This </w:t>
      </w:r>
      <w:r w:rsidR="00E42576">
        <w:t>scheme of delegation</w:t>
      </w:r>
      <w:r w:rsidRPr="00AC0364">
        <w:t xml:space="preserve"> has due regard to</w:t>
      </w:r>
      <w:r w:rsidR="00BB2368" w:rsidRPr="00AC0364">
        <w:t xml:space="preserve"> all relevant</w:t>
      </w:r>
      <w:r w:rsidRPr="00AC0364">
        <w:t xml:space="preserve"> legislation and statutory guidance including, but not limited to, the following: </w:t>
      </w:r>
    </w:p>
    <w:p w14:paraId="0D41CC7D" w14:textId="12791A11" w:rsidR="00A23725" w:rsidRDefault="0007266F" w:rsidP="00400FAE">
      <w:pPr>
        <w:pStyle w:val="PolicyBullets"/>
        <w:spacing w:line="240" w:lineRule="auto"/>
        <w:jc w:val="both"/>
      </w:pPr>
      <w:r>
        <w:t>E</w:t>
      </w:r>
      <w:r w:rsidR="001B31AB">
        <w:t>SF</w:t>
      </w:r>
      <w:r>
        <w:t xml:space="preserve">A </w:t>
      </w:r>
      <w:r w:rsidR="0052608A">
        <w:t>(2020</w:t>
      </w:r>
      <w:r w:rsidR="00972244">
        <w:t>) ‘</w:t>
      </w:r>
      <w:r w:rsidR="00530E26">
        <w:t>Academies financial handbook</w:t>
      </w:r>
      <w:r w:rsidR="00972244">
        <w:t>’</w:t>
      </w:r>
    </w:p>
    <w:p w14:paraId="38ADD698" w14:textId="7EC6DF35" w:rsidR="00972244" w:rsidRDefault="00972244" w:rsidP="00400FAE">
      <w:pPr>
        <w:pStyle w:val="PolicyBullets"/>
        <w:spacing w:line="240" w:lineRule="auto"/>
        <w:jc w:val="both"/>
      </w:pPr>
      <w:r>
        <w:t>The Companies Act 2006</w:t>
      </w:r>
    </w:p>
    <w:p w14:paraId="02EE3C1E" w14:textId="33402050" w:rsidR="00A23725" w:rsidRDefault="00A23725" w:rsidP="00400FAE">
      <w:pPr>
        <w:pStyle w:val="TSB-Level2Numbers"/>
        <w:spacing w:after="0" w:line="240" w:lineRule="auto"/>
      </w:pPr>
      <w:r>
        <w:t xml:space="preserve">This policy operates in conjunction with the following </w:t>
      </w:r>
      <w:r w:rsidR="001635B2">
        <w:t>trust</w:t>
      </w:r>
      <w:r>
        <w:t xml:space="preserve"> policies:</w:t>
      </w:r>
    </w:p>
    <w:p w14:paraId="47B3B1B9" w14:textId="530F8503" w:rsidR="00C63BAB" w:rsidRPr="00CD45C2" w:rsidRDefault="00C63BAB" w:rsidP="00400FAE">
      <w:pPr>
        <w:pStyle w:val="PolicyBullets"/>
        <w:spacing w:line="240" w:lineRule="auto"/>
        <w:jc w:val="both"/>
        <w:rPr>
          <w:bCs/>
          <w:color w:val="000000" w:themeColor="text1"/>
        </w:rPr>
      </w:pPr>
      <w:r w:rsidRPr="00CD45C2">
        <w:rPr>
          <w:bCs/>
          <w:color w:val="000000" w:themeColor="text1"/>
        </w:rPr>
        <w:t>Pay Policy</w:t>
      </w:r>
    </w:p>
    <w:p w14:paraId="53B5CEE3" w14:textId="77777777" w:rsidR="00C63BAB" w:rsidRPr="00CD45C2" w:rsidRDefault="00C63BAB" w:rsidP="00400FAE">
      <w:pPr>
        <w:pStyle w:val="PolicyBullets"/>
        <w:spacing w:line="240" w:lineRule="auto"/>
        <w:jc w:val="both"/>
        <w:rPr>
          <w:bCs/>
          <w:color w:val="000000" w:themeColor="text1"/>
        </w:rPr>
      </w:pPr>
      <w:r w:rsidRPr="00CD45C2">
        <w:rPr>
          <w:bCs/>
          <w:color w:val="000000" w:themeColor="text1"/>
        </w:rPr>
        <w:t>Gifts, Hospitality and Anti-Bribery Policy</w:t>
      </w:r>
    </w:p>
    <w:p w14:paraId="56643D67" w14:textId="5C887961" w:rsidR="00C63BAB" w:rsidRPr="00CD45C2" w:rsidRDefault="00C63BAB" w:rsidP="00400FAE">
      <w:pPr>
        <w:pStyle w:val="PolicyBullets"/>
        <w:spacing w:line="240" w:lineRule="auto"/>
        <w:jc w:val="both"/>
        <w:rPr>
          <w:bCs/>
          <w:color w:val="000000" w:themeColor="text1"/>
        </w:rPr>
      </w:pPr>
      <w:r w:rsidRPr="00CD45C2">
        <w:rPr>
          <w:bCs/>
          <w:color w:val="000000" w:themeColor="text1"/>
        </w:rPr>
        <w:t>Procurement and Tendering Policy</w:t>
      </w:r>
    </w:p>
    <w:p w14:paraId="5A831BAA" w14:textId="37CE621E" w:rsidR="001635B2" w:rsidRDefault="001635B2" w:rsidP="00400FAE">
      <w:pPr>
        <w:pStyle w:val="PolicyBullets"/>
        <w:spacing w:line="240" w:lineRule="auto"/>
        <w:jc w:val="both"/>
        <w:rPr>
          <w:b/>
          <w:color w:val="FFD006"/>
          <w:u w:val="single"/>
        </w:rPr>
      </w:pPr>
      <w:r w:rsidRPr="00CD45C2">
        <w:rPr>
          <w:bCs/>
          <w:color w:val="000000" w:themeColor="text1"/>
        </w:rPr>
        <w:t>Finance Policy</w:t>
      </w:r>
    </w:p>
    <w:p w14:paraId="2436B694" w14:textId="77777777" w:rsidR="00F55D31" w:rsidRPr="00C63BAB" w:rsidRDefault="00F55D31" w:rsidP="00400FAE">
      <w:pPr>
        <w:pStyle w:val="PolicyBullets"/>
        <w:numPr>
          <w:ilvl w:val="0"/>
          <w:numId w:val="0"/>
        </w:numPr>
        <w:spacing w:line="240" w:lineRule="auto"/>
        <w:ind w:left="1565"/>
        <w:jc w:val="both"/>
        <w:rPr>
          <w:b/>
          <w:color w:val="FFD006"/>
          <w:u w:val="single"/>
        </w:rPr>
      </w:pPr>
    </w:p>
    <w:p w14:paraId="10367C1C" w14:textId="40F556E0" w:rsidR="00530E26" w:rsidRDefault="009B303D" w:rsidP="00400FAE">
      <w:pPr>
        <w:pStyle w:val="Heading10"/>
        <w:spacing w:after="0" w:line="240" w:lineRule="auto"/>
        <w:ind w:left="357" w:hanging="357"/>
      </w:pPr>
      <w:bookmarkStart w:id="14" w:name="_Delegated_powers_of"/>
      <w:bookmarkStart w:id="15" w:name="Subsection3"/>
      <w:bookmarkEnd w:id="14"/>
      <w:r>
        <w:t>Responsibilities</w:t>
      </w:r>
      <w:r w:rsidR="00530E26" w:rsidRPr="00073D73">
        <w:t xml:space="preserve"> of the </w:t>
      </w:r>
      <w:r w:rsidR="00F55D31">
        <w:t xml:space="preserve">trust </w:t>
      </w:r>
      <w:r w:rsidR="00530E26" w:rsidRPr="00073D73">
        <w:t>members</w:t>
      </w:r>
    </w:p>
    <w:p w14:paraId="7EB3D014" w14:textId="77777777" w:rsidR="00B00E9C" w:rsidRPr="00B00E9C" w:rsidRDefault="00B00E9C" w:rsidP="00B00E9C"/>
    <w:p w14:paraId="1543E7D6" w14:textId="611F4A8F" w:rsidR="00530E26" w:rsidRPr="0030090B" w:rsidRDefault="00390E2D" w:rsidP="00400FAE">
      <w:pPr>
        <w:pStyle w:val="TSB-Level1Numbers"/>
        <w:spacing w:after="0" w:line="240" w:lineRule="auto"/>
      </w:pPr>
      <w:bookmarkStart w:id="16" w:name="_Delegated_powers_of_1"/>
      <w:bookmarkEnd w:id="16"/>
      <w:proofErr w:type="gramStart"/>
      <w:r w:rsidRPr="0030090B">
        <w:t>In regard to</w:t>
      </w:r>
      <w:proofErr w:type="gramEnd"/>
      <w:r w:rsidR="00530E26" w:rsidRPr="0030090B">
        <w:t xml:space="preserve"> the trust’s accounts, the members are responsible for appointing external auditors, other </w:t>
      </w:r>
      <w:r w:rsidR="00530E26" w:rsidRPr="008E3A83">
        <w:t>than</w:t>
      </w:r>
      <w:r w:rsidR="00530E26" w:rsidRPr="0030090B">
        <w:t xml:space="preserve"> where the Companies Act 2006 permits the trustees to appoint. </w:t>
      </w:r>
    </w:p>
    <w:p w14:paraId="442543F8" w14:textId="252C995B" w:rsidR="009B3B96" w:rsidRDefault="009B3B96" w:rsidP="00400FAE">
      <w:pPr>
        <w:pStyle w:val="TSB-Level1Numbers"/>
        <w:spacing w:after="0" w:line="240" w:lineRule="auto"/>
      </w:pPr>
      <w:r w:rsidRPr="0030090B">
        <w:t xml:space="preserve">In accordance with the letter of engagement, the members will vote on any proposals to remove external auditors – reasons for removing </w:t>
      </w:r>
      <w:r w:rsidR="00E369E6" w:rsidRPr="0030090B">
        <w:t xml:space="preserve">an </w:t>
      </w:r>
      <w:r w:rsidRPr="0030090B">
        <w:t>auditor must be</w:t>
      </w:r>
      <w:r w:rsidR="009D5B69" w:rsidRPr="0030090B">
        <w:t xml:space="preserve"> provided. </w:t>
      </w:r>
    </w:p>
    <w:p w14:paraId="3B0409A8" w14:textId="77777777" w:rsidR="00400FAE" w:rsidRPr="0030090B" w:rsidRDefault="00400FAE" w:rsidP="00400FAE">
      <w:pPr>
        <w:pStyle w:val="TSB-Level1Numbers"/>
        <w:numPr>
          <w:ilvl w:val="0"/>
          <w:numId w:val="0"/>
        </w:numPr>
        <w:spacing w:after="0" w:line="240" w:lineRule="auto"/>
        <w:ind w:left="1480"/>
      </w:pPr>
    </w:p>
    <w:p w14:paraId="326E8FEE" w14:textId="10BFAF15" w:rsidR="00530E26" w:rsidRDefault="009B303D" w:rsidP="00400FAE">
      <w:pPr>
        <w:pStyle w:val="Heading10"/>
        <w:spacing w:after="0" w:line="240" w:lineRule="auto"/>
      </w:pPr>
      <w:r>
        <w:t>Responsibilities</w:t>
      </w:r>
      <w:r w:rsidR="00530E26">
        <w:t xml:space="preserve"> of the </w:t>
      </w:r>
      <w:r w:rsidR="00FB564E">
        <w:t>trust</w:t>
      </w:r>
      <w:r w:rsidR="00530E26">
        <w:t xml:space="preserve"> board</w:t>
      </w:r>
    </w:p>
    <w:p w14:paraId="3D35ECF1" w14:textId="77777777" w:rsidR="00B00E9C" w:rsidRPr="00B00E9C" w:rsidRDefault="00B00E9C" w:rsidP="00B00E9C"/>
    <w:p w14:paraId="07A75459" w14:textId="4B1A55E3" w:rsidR="00530E26" w:rsidRPr="0058005A" w:rsidRDefault="00530E26" w:rsidP="00400FAE">
      <w:pPr>
        <w:pStyle w:val="TSB-Level1Numbers"/>
        <w:spacing w:after="0" w:line="240" w:lineRule="auto"/>
      </w:pPr>
      <w:r w:rsidRPr="0058005A">
        <w:t xml:space="preserve">A written Scheme of Delegation of Financial Powers will be approved by </w:t>
      </w:r>
      <w:r w:rsidR="009B303D">
        <w:t xml:space="preserve">the </w:t>
      </w:r>
      <w:r w:rsidR="009758BD">
        <w:t>Finance</w:t>
      </w:r>
      <w:r w:rsidR="00CD45C2">
        <w:t xml:space="preserve"> Committee</w:t>
      </w:r>
      <w:r w:rsidRPr="0058005A">
        <w:t xml:space="preserve">, ensuring that there are adequate operational controls in place for all the financial processes within the trust. </w:t>
      </w:r>
    </w:p>
    <w:p w14:paraId="395B9FCB" w14:textId="2FFFD93C" w:rsidR="00530E26" w:rsidRPr="0058005A" w:rsidRDefault="00530E26" w:rsidP="00400FAE">
      <w:pPr>
        <w:pStyle w:val="TSB-Level1Numbers"/>
        <w:spacing w:after="0" w:line="240" w:lineRule="auto"/>
      </w:pPr>
      <w:r w:rsidRPr="0058005A">
        <w:t xml:space="preserve">The board </w:t>
      </w:r>
      <w:r w:rsidR="009B303D">
        <w:t xml:space="preserve">of trustees </w:t>
      </w:r>
      <w:r w:rsidRPr="0058005A">
        <w:t>is responsible for ensuring that the trust is operating in accordance with the law, its articles of association,</w:t>
      </w:r>
      <w:r w:rsidR="009D5B69" w:rsidRPr="0058005A">
        <w:t xml:space="preserve"> its charitable objects,</w:t>
      </w:r>
      <w:r w:rsidRPr="0058005A">
        <w:t xml:space="preserve"> its funding agreement and the </w:t>
      </w:r>
      <w:r w:rsidR="00835F21">
        <w:t>A</w:t>
      </w:r>
      <w:r w:rsidR="00CD45C2">
        <w:t xml:space="preserve">cademies </w:t>
      </w:r>
      <w:r w:rsidR="00835F21">
        <w:t>F</w:t>
      </w:r>
      <w:r w:rsidR="00CD45C2">
        <w:t xml:space="preserve">inancial </w:t>
      </w:r>
      <w:r w:rsidR="00835F21">
        <w:t>H</w:t>
      </w:r>
      <w:r w:rsidR="00CD45C2">
        <w:t>andbook</w:t>
      </w:r>
      <w:r w:rsidRPr="0058005A">
        <w:t xml:space="preserve">. </w:t>
      </w:r>
    </w:p>
    <w:p w14:paraId="0B0DF0D6" w14:textId="7C6222BD" w:rsidR="00530E26" w:rsidRPr="0058005A" w:rsidRDefault="00530E26" w:rsidP="00400FAE">
      <w:pPr>
        <w:pStyle w:val="TSB-Level1Numbers"/>
        <w:spacing w:after="0" w:line="240" w:lineRule="auto"/>
      </w:pPr>
      <w:r w:rsidRPr="0058005A">
        <w:t xml:space="preserve">The </w:t>
      </w:r>
      <w:r w:rsidR="007250F7">
        <w:t xml:space="preserve">board of trustees is responsible for the </w:t>
      </w:r>
      <w:r w:rsidRPr="0058005A">
        <w:t xml:space="preserve">proper stewardship of </w:t>
      </w:r>
      <w:r w:rsidR="00E369E6">
        <w:t>trust</w:t>
      </w:r>
      <w:r w:rsidRPr="0058005A">
        <w:t xml:space="preserve"> funds, including regularity and propriety, as well as </w:t>
      </w:r>
      <w:r w:rsidR="007250F7">
        <w:t xml:space="preserve">for </w:t>
      </w:r>
      <w:r w:rsidRPr="0058005A">
        <w:t>ensuring that value for money is achieved</w:t>
      </w:r>
      <w:r w:rsidR="00CD4A6E" w:rsidRPr="0058005A">
        <w:t xml:space="preserve"> </w:t>
      </w:r>
      <w:proofErr w:type="gramStart"/>
      <w:r w:rsidR="00CD4A6E" w:rsidRPr="0058005A">
        <w:t>in order to</w:t>
      </w:r>
      <w:proofErr w:type="gramEnd"/>
      <w:r w:rsidR="00CD4A6E" w:rsidRPr="0058005A">
        <w:t xml:space="preserve"> maximise outcomes for pupils</w:t>
      </w:r>
      <w:r w:rsidRPr="0058005A">
        <w:t xml:space="preserve">. </w:t>
      </w:r>
    </w:p>
    <w:p w14:paraId="30DCFD29" w14:textId="1FEE87D3" w:rsidR="00530E26" w:rsidRPr="0058005A" w:rsidRDefault="00530E26" w:rsidP="00400FAE">
      <w:pPr>
        <w:pStyle w:val="TSB-Level1Numbers"/>
        <w:spacing w:after="0" w:line="240" w:lineRule="auto"/>
      </w:pPr>
      <w:r w:rsidRPr="0058005A">
        <w:t xml:space="preserve">Annual budgets will be formally approved by the board </w:t>
      </w:r>
      <w:r w:rsidR="009B303D">
        <w:t xml:space="preserve">of trustees </w:t>
      </w:r>
      <w:r w:rsidRPr="0058005A">
        <w:t xml:space="preserve">prior to the start of the new financial year. </w:t>
      </w:r>
    </w:p>
    <w:p w14:paraId="28E8E94F" w14:textId="42F12B79" w:rsidR="00530E26" w:rsidRPr="0058005A" w:rsidRDefault="00530E26" w:rsidP="00400FAE">
      <w:pPr>
        <w:pStyle w:val="TSB-Level1Numbers"/>
        <w:spacing w:after="0" w:line="240" w:lineRule="auto"/>
      </w:pPr>
      <w:r w:rsidRPr="0058005A">
        <w:t xml:space="preserve">Budgetary control reports from </w:t>
      </w:r>
      <w:r w:rsidRPr="00CD45C2">
        <w:rPr>
          <w:color w:val="000000" w:themeColor="text1"/>
        </w:rPr>
        <w:t xml:space="preserve">the </w:t>
      </w:r>
      <w:r w:rsidR="009758BD">
        <w:rPr>
          <w:color w:val="000000" w:themeColor="text1"/>
        </w:rPr>
        <w:t>Finance</w:t>
      </w:r>
      <w:r w:rsidR="00ED04DD" w:rsidRPr="00CD45C2">
        <w:rPr>
          <w:color w:val="000000" w:themeColor="text1"/>
        </w:rPr>
        <w:t xml:space="preserve"> </w:t>
      </w:r>
      <w:r w:rsidR="00CD45C2" w:rsidRPr="00CD45C2">
        <w:rPr>
          <w:color w:val="000000" w:themeColor="text1"/>
        </w:rPr>
        <w:t>C</w:t>
      </w:r>
      <w:r w:rsidR="00ED04DD" w:rsidRPr="00CD45C2">
        <w:rPr>
          <w:color w:val="000000" w:themeColor="text1"/>
        </w:rPr>
        <w:t>ommittee</w:t>
      </w:r>
      <w:r w:rsidRPr="00CD45C2">
        <w:rPr>
          <w:color w:val="000000" w:themeColor="text1"/>
        </w:rPr>
        <w:t xml:space="preserve"> </w:t>
      </w:r>
      <w:r w:rsidRPr="0058005A">
        <w:t xml:space="preserve">will be discussed at least once per term. </w:t>
      </w:r>
    </w:p>
    <w:p w14:paraId="0A4B4642" w14:textId="41D93DFC" w:rsidR="00530E26" w:rsidRPr="00CD45C2" w:rsidRDefault="00530E26" w:rsidP="00400FAE">
      <w:pPr>
        <w:pStyle w:val="TSB-Level1Numbers"/>
        <w:spacing w:after="0" w:line="240" w:lineRule="auto"/>
        <w:rPr>
          <w:color w:val="000000" w:themeColor="text1"/>
        </w:rPr>
      </w:pPr>
      <w:r w:rsidRPr="0058005A">
        <w:t xml:space="preserve">All capital plans for the trust, as recommended by the </w:t>
      </w:r>
      <w:r w:rsidR="009758BD">
        <w:rPr>
          <w:color w:val="000000" w:themeColor="text1"/>
        </w:rPr>
        <w:t>Finance</w:t>
      </w:r>
      <w:r w:rsidR="00ED04DD" w:rsidRPr="00CD45C2">
        <w:rPr>
          <w:color w:val="000000" w:themeColor="text1"/>
        </w:rPr>
        <w:t xml:space="preserve"> </w:t>
      </w:r>
      <w:r w:rsidR="00CD45C2" w:rsidRPr="00CD45C2">
        <w:rPr>
          <w:color w:val="000000" w:themeColor="text1"/>
        </w:rPr>
        <w:t>C</w:t>
      </w:r>
      <w:r w:rsidR="00ED04DD" w:rsidRPr="00CD45C2">
        <w:rPr>
          <w:color w:val="000000" w:themeColor="text1"/>
        </w:rPr>
        <w:t>ommittee</w:t>
      </w:r>
      <w:r w:rsidRPr="00CD45C2">
        <w:rPr>
          <w:color w:val="000000" w:themeColor="text1"/>
        </w:rPr>
        <w:t xml:space="preserve">, will be received and approved by the board </w:t>
      </w:r>
      <w:r w:rsidR="00E369E6" w:rsidRPr="00CD45C2">
        <w:rPr>
          <w:color w:val="000000" w:themeColor="text1"/>
        </w:rPr>
        <w:t xml:space="preserve">of trustees </w:t>
      </w:r>
      <w:r w:rsidRPr="00CD45C2">
        <w:rPr>
          <w:color w:val="000000" w:themeColor="text1"/>
        </w:rPr>
        <w:t xml:space="preserve">on an annual basis. </w:t>
      </w:r>
    </w:p>
    <w:p w14:paraId="04D2FB31" w14:textId="1ED2F354" w:rsidR="00530E26" w:rsidRPr="0058005A" w:rsidRDefault="00530E26" w:rsidP="00400FAE">
      <w:pPr>
        <w:pStyle w:val="TSB-Level1Numbers"/>
        <w:spacing w:after="0" w:line="240" w:lineRule="auto"/>
      </w:pPr>
      <w:r w:rsidRPr="00CD45C2">
        <w:rPr>
          <w:color w:val="000000" w:themeColor="text1"/>
        </w:rPr>
        <w:t xml:space="preserve">A </w:t>
      </w:r>
      <w:r w:rsidR="009D5B69" w:rsidRPr="00CD45C2">
        <w:rPr>
          <w:color w:val="000000" w:themeColor="text1"/>
        </w:rPr>
        <w:t>Declared Conflicts of Interests Register</w:t>
      </w:r>
      <w:r w:rsidRPr="00CD45C2">
        <w:rPr>
          <w:color w:val="000000" w:themeColor="text1"/>
        </w:rPr>
        <w:t xml:space="preserve"> for all board members and staff with financial responsibilities will be kept and maintained </w:t>
      </w:r>
      <w:r w:rsidRPr="0058005A">
        <w:t>by the board</w:t>
      </w:r>
      <w:r w:rsidR="00E369E6">
        <w:t xml:space="preserve"> of trustees</w:t>
      </w:r>
      <w:r w:rsidRPr="0058005A">
        <w:t xml:space="preserve">. </w:t>
      </w:r>
    </w:p>
    <w:p w14:paraId="38F08A13" w14:textId="4904CECA" w:rsidR="00431F31" w:rsidRDefault="00431F31" w:rsidP="00400FAE">
      <w:pPr>
        <w:pStyle w:val="TSB-Level1Numbers"/>
        <w:spacing w:after="0" w:line="240" w:lineRule="auto"/>
      </w:pPr>
      <w:r w:rsidRPr="00902F3C">
        <w:t>The board of trustees is responsible for the following:</w:t>
      </w:r>
    </w:p>
    <w:p w14:paraId="587DEAE1" w14:textId="77777777" w:rsidR="00400FAE" w:rsidRDefault="00400FAE" w:rsidP="00400FAE">
      <w:pPr>
        <w:pStyle w:val="TSB-Level1Numbers"/>
        <w:numPr>
          <w:ilvl w:val="0"/>
          <w:numId w:val="0"/>
        </w:numPr>
        <w:spacing w:after="0" w:line="240" w:lineRule="auto"/>
        <w:ind w:left="1480"/>
      </w:pPr>
    </w:p>
    <w:p w14:paraId="7EEDD111" w14:textId="77777777" w:rsidR="00431F31" w:rsidRDefault="00431F31" w:rsidP="00400FAE">
      <w:pPr>
        <w:pStyle w:val="TSB-Level1Numbers"/>
        <w:numPr>
          <w:ilvl w:val="0"/>
          <w:numId w:val="0"/>
        </w:numPr>
        <w:spacing w:after="0" w:line="240" w:lineRule="auto"/>
        <w:ind w:left="1480"/>
        <w:rPr>
          <w:b/>
          <w:bCs/>
        </w:rPr>
      </w:pPr>
      <w:r w:rsidRPr="0030090B">
        <w:rPr>
          <w:b/>
          <w:bCs/>
        </w:rPr>
        <w:t>External audit</w:t>
      </w:r>
    </w:p>
    <w:p w14:paraId="33753140" w14:textId="77777777" w:rsidR="00B00E9C" w:rsidRPr="0030090B" w:rsidRDefault="00B00E9C" w:rsidP="00400FAE">
      <w:pPr>
        <w:pStyle w:val="TSB-Level1Numbers"/>
        <w:numPr>
          <w:ilvl w:val="0"/>
          <w:numId w:val="0"/>
        </w:numPr>
        <w:spacing w:after="0" w:line="240" w:lineRule="auto"/>
        <w:ind w:left="1480"/>
        <w:rPr>
          <w:b/>
          <w:bCs/>
        </w:rPr>
      </w:pPr>
    </w:p>
    <w:p w14:paraId="047A7509" w14:textId="19AE46E5" w:rsidR="00431F31" w:rsidRPr="00CD45C2" w:rsidRDefault="00431F31" w:rsidP="00400FAE">
      <w:pPr>
        <w:pStyle w:val="PolicyBullets"/>
        <w:spacing w:line="240" w:lineRule="auto"/>
        <w:contextualSpacing w:val="0"/>
        <w:jc w:val="both"/>
        <w:rPr>
          <w:rFonts w:cstheme="minorHAnsi"/>
          <w:color w:val="000000" w:themeColor="text1"/>
        </w:rPr>
      </w:pPr>
      <w:r w:rsidRPr="00D97AA5">
        <w:rPr>
          <w:rFonts w:cstheme="minorHAnsi"/>
        </w:rPr>
        <w:t xml:space="preserve">Appointing a </w:t>
      </w:r>
      <w:r>
        <w:rPr>
          <w:rFonts w:cstheme="minorHAnsi"/>
        </w:rPr>
        <w:t>CFO</w:t>
      </w:r>
      <w:r w:rsidR="00D61B32">
        <w:rPr>
          <w:rFonts w:cstheme="minorHAnsi"/>
        </w:rPr>
        <w:t>,</w:t>
      </w:r>
      <w:r w:rsidRPr="00D97AA5">
        <w:rPr>
          <w:rFonts w:cstheme="minorHAnsi"/>
        </w:rPr>
        <w:t xml:space="preserve"> and</w:t>
      </w:r>
      <w:r w:rsidR="00CD45C2">
        <w:rPr>
          <w:rFonts w:cstheme="minorHAnsi"/>
        </w:rPr>
        <w:t xml:space="preserve"> </w:t>
      </w:r>
      <w:r w:rsidR="001635B2">
        <w:rPr>
          <w:rFonts w:cstheme="minorHAnsi"/>
        </w:rPr>
        <w:t>a</w:t>
      </w:r>
      <w:r w:rsidRPr="00D97AA5">
        <w:rPr>
          <w:rFonts w:cstheme="minorHAnsi"/>
        </w:rPr>
        <w:t xml:space="preserve"> </w:t>
      </w:r>
      <w:r w:rsidR="009758BD">
        <w:rPr>
          <w:rFonts w:cstheme="minorHAnsi"/>
          <w:color w:val="000000" w:themeColor="text1"/>
        </w:rPr>
        <w:t>Finance</w:t>
      </w:r>
      <w:r w:rsidR="00ED04DD" w:rsidRPr="00CD45C2">
        <w:rPr>
          <w:rFonts w:cstheme="minorHAnsi"/>
          <w:color w:val="000000" w:themeColor="text1"/>
        </w:rPr>
        <w:t xml:space="preserve"> </w:t>
      </w:r>
      <w:r w:rsidR="00CD45C2" w:rsidRPr="00CD45C2">
        <w:rPr>
          <w:rFonts w:cstheme="minorHAnsi"/>
          <w:color w:val="000000" w:themeColor="text1"/>
        </w:rPr>
        <w:t>C</w:t>
      </w:r>
      <w:r w:rsidR="00ED04DD" w:rsidRPr="00CD45C2">
        <w:rPr>
          <w:rFonts w:cstheme="minorHAnsi"/>
          <w:color w:val="000000" w:themeColor="text1"/>
        </w:rPr>
        <w:t>ommittee</w:t>
      </w:r>
      <w:r w:rsidR="00D61B32" w:rsidRPr="00CD45C2">
        <w:rPr>
          <w:rFonts w:cstheme="minorHAnsi"/>
          <w:color w:val="000000" w:themeColor="text1"/>
        </w:rPr>
        <w:t xml:space="preserve">, </w:t>
      </w:r>
      <w:r w:rsidRPr="00CD45C2">
        <w:rPr>
          <w:rFonts w:cstheme="minorHAnsi"/>
          <w:color w:val="000000" w:themeColor="text1"/>
        </w:rPr>
        <w:t>to oversee financial scrutiny.</w:t>
      </w:r>
    </w:p>
    <w:p w14:paraId="68E8977C" w14:textId="63EA4EBB" w:rsidR="00431F31" w:rsidRPr="005E1A4B" w:rsidRDefault="00431F31" w:rsidP="00400FAE">
      <w:pPr>
        <w:pStyle w:val="PolicyBullets"/>
        <w:spacing w:line="240" w:lineRule="auto"/>
        <w:contextualSpacing w:val="0"/>
        <w:jc w:val="both"/>
        <w:rPr>
          <w:rFonts w:cstheme="minorHAnsi"/>
        </w:rPr>
      </w:pPr>
      <w:r w:rsidRPr="005E1A4B">
        <w:rPr>
          <w:rFonts w:cstheme="minorHAnsi"/>
        </w:rPr>
        <w:t>Appointing external auditors where the Companies Act 2006 permits it to do so – see paragraph 2.1 – and notifying the ESFA when an auditor is removed or resigns</w:t>
      </w:r>
      <w:r>
        <w:rPr>
          <w:rFonts w:cstheme="minorHAnsi"/>
        </w:rPr>
        <w:t>.</w:t>
      </w:r>
    </w:p>
    <w:p w14:paraId="3E08593F" w14:textId="06CF2AD3" w:rsidR="00431F31" w:rsidRPr="00113CFE" w:rsidRDefault="00431F31" w:rsidP="00400FAE">
      <w:pPr>
        <w:pStyle w:val="PolicyBullets"/>
        <w:spacing w:line="240" w:lineRule="auto"/>
        <w:contextualSpacing w:val="0"/>
        <w:jc w:val="both"/>
        <w:rPr>
          <w:rFonts w:cstheme="minorHAnsi"/>
        </w:rPr>
      </w:pPr>
      <w:r w:rsidRPr="005E1A4B">
        <w:rPr>
          <w:rFonts w:cstheme="minorHAnsi"/>
        </w:rPr>
        <w:t xml:space="preserve">Receiving the reports </w:t>
      </w:r>
      <w:r w:rsidR="007250F7">
        <w:rPr>
          <w:rFonts w:cstheme="minorHAnsi"/>
        </w:rPr>
        <w:t xml:space="preserve">of the findings of any external audit </w:t>
      </w:r>
      <w:r w:rsidRPr="005E1A4B">
        <w:rPr>
          <w:rFonts w:cstheme="minorHAnsi"/>
        </w:rPr>
        <w:t>from</w:t>
      </w:r>
      <w:r w:rsidRPr="00BA3F4B">
        <w:rPr>
          <w:rFonts w:cstheme="minorHAnsi"/>
        </w:rPr>
        <w:t xml:space="preserve"> the external auditor</w:t>
      </w:r>
      <w:r>
        <w:rPr>
          <w:rFonts w:cstheme="minorHAnsi"/>
        </w:rPr>
        <w:t>.</w:t>
      </w:r>
    </w:p>
    <w:p w14:paraId="6154A0A0" w14:textId="7C44A75B" w:rsidR="00431F31" w:rsidRPr="006B5562" w:rsidRDefault="00431F31" w:rsidP="00400FAE">
      <w:pPr>
        <w:pStyle w:val="PolicyBullets"/>
        <w:spacing w:line="240" w:lineRule="auto"/>
        <w:contextualSpacing w:val="0"/>
        <w:jc w:val="both"/>
        <w:rPr>
          <w:rFonts w:cstheme="minorHAnsi"/>
        </w:rPr>
      </w:pPr>
      <w:r w:rsidRPr="006B5562">
        <w:rPr>
          <w:rFonts w:cstheme="minorHAnsi"/>
        </w:rPr>
        <w:t>Cooperating with</w:t>
      </w:r>
      <w:r w:rsidR="001635B2">
        <w:rPr>
          <w:rFonts w:cstheme="minorHAnsi"/>
        </w:rPr>
        <w:t xml:space="preserve"> external</w:t>
      </w:r>
      <w:r w:rsidRPr="006B5562">
        <w:rPr>
          <w:rFonts w:cstheme="minorHAnsi"/>
        </w:rPr>
        <w:t xml:space="preserve"> risk management auditors and</w:t>
      </w:r>
      <w:r w:rsidR="001635B2">
        <w:rPr>
          <w:rFonts w:cstheme="minorHAnsi"/>
        </w:rPr>
        <w:t xml:space="preserve"> external</w:t>
      </w:r>
      <w:r w:rsidRPr="006B5562">
        <w:rPr>
          <w:rFonts w:cstheme="minorHAnsi"/>
        </w:rPr>
        <w:t xml:space="preserve"> </w:t>
      </w:r>
      <w:r>
        <w:rPr>
          <w:rFonts w:cstheme="minorHAnsi"/>
        </w:rPr>
        <w:t xml:space="preserve">risk </w:t>
      </w:r>
      <w:proofErr w:type="gramStart"/>
      <w:r w:rsidRPr="006B5562">
        <w:rPr>
          <w:rFonts w:cstheme="minorHAnsi"/>
        </w:rPr>
        <w:t>managers</w:t>
      </w:r>
      <w:r w:rsidR="00FD6DC3">
        <w:rPr>
          <w:rFonts w:cstheme="minorHAnsi"/>
        </w:rPr>
        <w:t>,</w:t>
      </w:r>
      <w:r w:rsidRPr="006B5562">
        <w:rPr>
          <w:rFonts w:cstheme="minorHAnsi"/>
        </w:rPr>
        <w:t xml:space="preserve"> and</w:t>
      </w:r>
      <w:proofErr w:type="gramEnd"/>
      <w:r w:rsidRPr="006B5562">
        <w:rPr>
          <w:rFonts w:cstheme="minorHAnsi"/>
        </w:rPr>
        <w:t xml:space="preserve"> implementing reasonable recommendations where necessary</w:t>
      </w:r>
      <w:r>
        <w:rPr>
          <w:rFonts w:cstheme="minorHAnsi"/>
        </w:rPr>
        <w:t>.</w:t>
      </w:r>
    </w:p>
    <w:p w14:paraId="06A2F2B2" w14:textId="71A8AF39" w:rsidR="00431F31" w:rsidRDefault="00431F31" w:rsidP="00400FAE">
      <w:pPr>
        <w:pStyle w:val="PolicyBullets"/>
        <w:spacing w:line="240" w:lineRule="auto"/>
        <w:contextualSpacing w:val="0"/>
        <w:jc w:val="both"/>
        <w:rPr>
          <w:rFonts w:cstheme="minorHAnsi"/>
        </w:rPr>
      </w:pPr>
      <w:r w:rsidRPr="00AF2E71">
        <w:rPr>
          <w:rFonts w:cstheme="minorHAnsi"/>
        </w:rPr>
        <w:t xml:space="preserve">Ensuring there is an appropriate, reasonable and timely response to the </w:t>
      </w:r>
      <w:r w:rsidRPr="002B0737">
        <w:rPr>
          <w:rFonts w:cstheme="minorHAnsi"/>
        </w:rPr>
        <w:t>auditor’s findings</w:t>
      </w:r>
      <w:r>
        <w:rPr>
          <w:rFonts w:cstheme="minorHAnsi"/>
        </w:rPr>
        <w:t>.</w:t>
      </w:r>
    </w:p>
    <w:p w14:paraId="6F5716B7" w14:textId="77777777" w:rsidR="00400FAE" w:rsidRPr="006B5562" w:rsidRDefault="00400FAE" w:rsidP="00400FAE">
      <w:pPr>
        <w:pStyle w:val="PolicyBullets"/>
        <w:numPr>
          <w:ilvl w:val="0"/>
          <w:numId w:val="0"/>
        </w:numPr>
        <w:spacing w:line="240" w:lineRule="auto"/>
        <w:ind w:left="1922"/>
        <w:contextualSpacing w:val="0"/>
        <w:jc w:val="both"/>
        <w:rPr>
          <w:rFonts w:cstheme="minorHAnsi"/>
        </w:rPr>
      </w:pPr>
    </w:p>
    <w:p w14:paraId="34453E9A" w14:textId="77777777" w:rsidR="00431F31" w:rsidRDefault="00431F31" w:rsidP="00400FAE">
      <w:pPr>
        <w:pStyle w:val="TSB-Level1Numbers"/>
        <w:numPr>
          <w:ilvl w:val="0"/>
          <w:numId w:val="0"/>
        </w:numPr>
        <w:spacing w:after="0" w:line="240" w:lineRule="auto"/>
        <w:ind w:left="1480"/>
        <w:rPr>
          <w:b/>
          <w:bCs/>
        </w:rPr>
      </w:pPr>
      <w:r w:rsidRPr="0030090B">
        <w:rPr>
          <w:b/>
          <w:bCs/>
        </w:rPr>
        <w:t>Liaising with the ESFA</w:t>
      </w:r>
    </w:p>
    <w:p w14:paraId="4172F26F" w14:textId="77777777" w:rsidR="00B00E9C" w:rsidRPr="0030090B" w:rsidRDefault="00B00E9C" w:rsidP="00400FAE">
      <w:pPr>
        <w:pStyle w:val="TSB-Level1Numbers"/>
        <w:numPr>
          <w:ilvl w:val="0"/>
          <w:numId w:val="0"/>
        </w:numPr>
        <w:spacing w:after="0" w:line="240" w:lineRule="auto"/>
        <w:ind w:left="1480"/>
        <w:rPr>
          <w:b/>
          <w:bCs/>
        </w:rPr>
      </w:pPr>
    </w:p>
    <w:p w14:paraId="5F7F6CAA" w14:textId="77777777" w:rsidR="00431F31" w:rsidRPr="00D97AA5" w:rsidRDefault="00431F31" w:rsidP="00400FAE">
      <w:pPr>
        <w:pStyle w:val="PolicyBullets"/>
        <w:spacing w:line="240" w:lineRule="auto"/>
        <w:contextualSpacing w:val="0"/>
        <w:jc w:val="both"/>
        <w:rPr>
          <w:rFonts w:cstheme="minorHAnsi"/>
        </w:rPr>
      </w:pPr>
      <w:r w:rsidRPr="00D97AA5">
        <w:rPr>
          <w:rFonts w:cstheme="minorHAnsi"/>
        </w:rPr>
        <w:t>Seeking the ESFA’s approval and meeting statutory requirements for any element of staff severance payment or compensation payment which is more than £50,000 above any contractual entitlement</w:t>
      </w:r>
      <w:r>
        <w:rPr>
          <w:rFonts w:cstheme="minorHAnsi"/>
        </w:rPr>
        <w:t>.</w:t>
      </w:r>
    </w:p>
    <w:p w14:paraId="3678A3FA" w14:textId="77777777" w:rsidR="00431F31" w:rsidRPr="005E1A4B" w:rsidRDefault="00431F31" w:rsidP="00400FAE">
      <w:pPr>
        <w:pStyle w:val="PolicyBullets"/>
        <w:spacing w:line="240" w:lineRule="auto"/>
        <w:contextualSpacing w:val="0"/>
        <w:jc w:val="both"/>
        <w:rPr>
          <w:rFonts w:cstheme="minorHAnsi"/>
        </w:rPr>
      </w:pPr>
      <w:r w:rsidRPr="005E1A4B">
        <w:rPr>
          <w:rFonts w:cstheme="minorHAnsi"/>
        </w:rPr>
        <w:t>Informing the ESFA if it suspects any irregularity affecting resources</w:t>
      </w:r>
      <w:r>
        <w:rPr>
          <w:rFonts w:cstheme="minorHAnsi"/>
        </w:rPr>
        <w:t>.</w:t>
      </w:r>
    </w:p>
    <w:p w14:paraId="4D378F14" w14:textId="45063656" w:rsidR="00431F31" w:rsidRPr="005E1A4B" w:rsidRDefault="00431F31" w:rsidP="00400FAE">
      <w:pPr>
        <w:pStyle w:val="PolicyBullets"/>
        <w:spacing w:line="240" w:lineRule="auto"/>
        <w:contextualSpacing w:val="0"/>
        <w:jc w:val="both"/>
        <w:rPr>
          <w:rFonts w:cstheme="minorHAnsi"/>
        </w:rPr>
      </w:pPr>
      <w:r w:rsidRPr="005E1A4B">
        <w:rPr>
          <w:rFonts w:cstheme="minorHAnsi"/>
        </w:rPr>
        <w:t xml:space="preserve">Obtaining approval from the Secretary of State via the ESFA for the following transactions which are beyond the limits specified in the </w:t>
      </w:r>
      <w:r w:rsidR="00835F21">
        <w:rPr>
          <w:rFonts w:cstheme="minorHAnsi"/>
        </w:rPr>
        <w:t>AFH</w:t>
      </w:r>
      <w:r w:rsidRPr="005E1A4B">
        <w:rPr>
          <w:rFonts w:cstheme="minorHAnsi"/>
        </w:rPr>
        <w:t>:</w:t>
      </w:r>
    </w:p>
    <w:p w14:paraId="6778C343" w14:textId="77777777" w:rsidR="00431F31" w:rsidRPr="005E1A4B" w:rsidRDefault="00431F31" w:rsidP="00400FAE">
      <w:pPr>
        <w:pStyle w:val="PolicyBullets"/>
        <w:numPr>
          <w:ilvl w:val="1"/>
          <w:numId w:val="27"/>
        </w:numPr>
        <w:spacing w:line="240" w:lineRule="auto"/>
        <w:contextualSpacing w:val="0"/>
        <w:jc w:val="both"/>
        <w:rPr>
          <w:rFonts w:cstheme="minorHAnsi"/>
        </w:rPr>
      </w:pPr>
      <w:r w:rsidRPr="005E1A4B">
        <w:rPr>
          <w:rFonts w:cstheme="minorHAnsi"/>
        </w:rPr>
        <w:t>Additional funding</w:t>
      </w:r>
    </w:p>
    <w:p w14:paraId="1EE7C8BE" w14:textId="77777777" w:rsidR="00431F31" w:rsidRPr="00BA3F4B" w:rsidRDefault="00431F31" w:rsidP="00400FAE">
      <w:pPr>
        <w:pStyle w:val="PolicyBullets"/>
        <w:numPr>
          <w:ilvl w:val="1"/>
          <w:numId w:val="27"/>
        </w:numPr>
        <w:spacing w:line="240" w:lineRule="auto"/>
        <w:contextualSpacing w:val="0"/>
        <w:jc w:val="both"/>
        <w:rPr>
          <w:rFonts w:cstheme="minorHAnsi"/>
        </w:rPr>
      </w:pPr>
      <w:r w:rsidRPr="005E1A4B">
        <w:rPr>
          <w:rFonts w:cstheme="minorHAnsi"/>
        </w:rPr>
        <w:t>Writing off debts and losses</w:t>
      </w:r>
    </w:p>
    <w:p w14:paraId="3D0CEDFA" w14:textId="77777777" w:rsidR="00431F31" w:rsidRPr="00113CFE" w:rsidRDefault="00431F31" w:rsidP="00400FAE">
      <w:pPr>
        <w:pStyle w:val="PolicyBullets"/>
        <w:numPr>
          <w:ilvl w:val="1"/>
          <w:numId w:val="27"/>
        </w:numPr>
        <w:spacing w:line="240" w:lineRule="auto"/>
        <w:contextualSpacing w:val="0"/>
        <w:jc w:val="both"/>
        <w:rPr>
          <w:rFonts w:cstheme="minorHAnsi"/>
        </w:rPr>
      </w:pPr>
      <w:proofErr w:type="gramStart"/>
      <w:r w:rsidRPr="00113CFE">
        <w:rPr>
          <w:rFonts w:cstheme="minorHAnsi"/>
        </w:rPr>
        <w:t>Entering into</w:t>
      </w:r>
      <w:proofErr w:type="gramEnd"/>
      <w:r w:rsidRPr="00113CFE">
        <w:rPr>
          <w:rFonts w:cstheme="minorHAnsi"/>
        </w:rPr>
        <w:t xml:space="preserve"> guarantees, letters of comfort and indemnities</w:t>
      </w:r>
    </w:p>
    <w:p w14:paraId="34125834" w14:textId="77777777" w:rsidR="00431F31" w:rsidRPr="006B5562" w:rsidRDefault="00431F31" w:rsidP="00400FAE">
      <w:pPr>
        <w:pStyle w:val="PolicyBullets"/>
        <w:numPr>
          <w:ilvl w:val="1"/>
          <w:numId w:val="27"/>
        </w:numPr>
        <w:spacing w:line="240" w:lineRule="auto"/>
        <w:contextualSpacing w:val="0"/>
        <w:jc w:val="both"/>
        <w:rPr>
          <w:rFonts w:cstheme="minorHAnsi"/>
        </w:rPr>
      </w:pPr>
      <w:r w:rsidRPr="006B5562">
        <w:rPr>
          <w:rFonts w:cstheme="minorHAnsi"/>
        </w:rPr>
        <w:t>Acquiring freeholds</w:t>
      </w:r>
    </w:p>
    <w:p w14:paraId="3ECE8833" w14:textId="6D8FB787" w:rsidR="00431F31" w:rsidRPr="006B5562" w:rsidRDefault="00431F31" w:rsidP="00400FAE">
      <w:pPr>
        <w:pStyle w:val="PolicyBullets"/>
        <w:spacing w:line="240" w:lineRule="auto"/>
        <w:contextualSpacing w:val="0"/>
        <w:jc w:val="both"/>
        <w:rPr>
          <w:rFonts w:cstheme="minorHAnsi"/>
        </w:rPr>
      </w:pPr>
      <w:r w:rsidRPr="006B5562">
        <w:rPr>
          <w:rFonts w:cstheme="minorHAnsi"/>
        </w:rPr>
        <w:t xml:space="preserve">Cooperating with the ESFA if they require financial information to </w:t>
      </w:r>
      <w:proofErr w:type="gramStart"/>
      <w:r w:rsidRPr="006B5562">
        <w:rPr>
          <w:rFonts w:cstheme="minorHAnsi"/>
        </w:rPr>
        <w:t xml:space="preserve">help </w:t>
      </w:r>
      <w:r w:rsidR="00574D29">
        <w:rPr>
          <w:rFonts w:cstheme="minorHAnsi"/>
        </w:rPr>
        <w:t xml:space="preserve"> </w:t>
      </w:r>
      <w:r w:rsidRPr="006B5562">
        <w:rPr>
          <w:rFonts w:cstheme="minorHAnsi"/>
        </w:rPr>
        <w:t>inform</w:t>
      </w:r>
      <w:proofErr w:type="gramEnd"/>
      <w:r w:rsidRPr="006B5562">
        <w:rPr>
          <w:rFonts w:cstheme="minorHAnsi"/>
        </w:rPr>
        <w:t xml:space="preserve"> any audits of the trust</w:t>
      </w:r>
      <w:r>
        <w:rPr>
          <w:rFonts w:cstheme="minorHAnsi"/>
        </w:rPr>
        <w:t>.</w:t>
      </w:r>
    </w:p>
    <w:p w14:paraId="06D9DC17" w14:textId="2EDB3A6B" w:rsidR="00C703BB" w:rsidRPr="00C703BB" w:rsidRDefault="00C703BB" w:rsidP="00400FAE">
      <w:pPr>
        <w:pStyle w:val="PolicyBullets"/>
        <w:spacing w:line="240" w:lineRule="auto"/>
        <w:rPr>
          <w:rFonts w:cstheme="minorHAnsi"/>
        </w:rPr>
      </w:pPr>
      <w:r w:rsidRPr="00C703BB">
        <w:rPr>
          <w:rFonts w:cstheme="minorHAnsi"/>
        </w:rPr>
        <w:t>Keeping</w:t>
      </w:r>
      <w:r>
        <w:rPr>
          <w:rFonts w:cstheme="minorHAnsi"/>
        </w:rPr>
        <w:t>, and declar</w:t>
      </w:r>
      <w:r w:rsidR="00E36C9F">
        <w:rPr>
          <w:rFonts w:cstheme="minorHAnsi"/>
        </w:rPr>
        <w:t>ing</w:t>
      </w:r>
      <w:r>
        <w:rPr>
          <w:rFonts w:cstheme="minorHAnsi"/>
        </w:rPr>
        <w:t xml:space="preserve"> to the ESFA, </w:t>
      </w:r>
      <w:r w:rsidRPr="00C703BB">
        <w:rPr>
          <w:rFonts w:cstheme="minorHAnsi"/>
        </w:rPr>
        <w:t>records pertaining to related party transactions, to highlight that all transactions have been conducted in accordance with the high standards of accountability and transparency.</w:t>
      </w:r>
    </w:p>
    <w:p w14:paraId="144BE70B" w14:textId="3DC6989F" w:rsidR="00431F31" w:rsidRPr="006B5562" w:rsidRDefault="00431F31" w:rsidP="00400FAE">
      <w:pPr>
        <w:pStyle w:val="PolicyBullets"/>
        <w:spacing w:line="240" w:lineRule="auto"/>
        <w:contextualSpacing w:val="0"/>
        <w:jc w:val="both"/>
        <w:rPr>
          <w:rFonts w:cstheme="minorHAnsi"/>
        </w:rPr>
      </w:pPr>
      <w:r w:rsidRPr="006B5562">
        <w:rPr>
          <w:rFonts w:cstheme="minorHAnsi"/>
        </w:rPr>
        <w:t>Seeking approval from the ESFA for any novel, contentious or repercussive investments</w:t>
      </w:r>
      <w:r>
        <w:rPr>
          <w:rFonts w:cstheme="minorHAnsi"/>
        </w:rPr>
        <w:t>.</w:t>
      </w:r>
    </w:p>
    <w:p w14:paraId="3EEB54A8" w14:textId="77777777" w:rsidR="00431F31" w:rsidRPr="006B5562" w:rsidRDefault="00431F31" w:rsidP="00400FAE">
      <w:pPr>
        <w:pStyle w:val="PolicyBullets"/>
        <w:spacing w:line="240" w:lineRule="auto"/>
        <w:contextualSpacing w:val="0"/>
        <w:jc w:val="both"/>
        <w:rPr>
          <w:rFonts w:cstheme="minorHAnsi"/>
        </w:rPr>
      </w:pPr>
      <w:r w:rsidRPr="006B5562">
        <w:rPr>
          <w:rFonts w:cstheme="minorHAnsi"/>
        </w:rPr>
        <w:t>Seeking approval from the ESFA for ex-gratia transactions</w:t>
      </w:r>
      <w:r>
        <w:rPr>
          <w:rFonts w:cstheme="minorHAnsi"/>
        </w:rPr>
        <w:t>.</w:t>
      </w:r>
    </w:p>
    <w:p w14:paraId="651B8BB1" w14:textId="77777777" w:rsidR="00431F31" w:rsidRPr="006B5562" w:rsidRDefault="00431F31" w:rsidP="00400FAE">
      <w:pPr>
        <w:pStyle w:val="PolicyBullets"/>
        <w:spacing w:line="240" w:lineRule="auto"/>
        <w:contextualSpacing w:val="0"/>
        <w:jc w:val="both"/>
        <w:rPr>
          <w:rFonts w:cstheme="minorHAnsi"/>
        </w:rPr>
      </w:pPr>
      <w:r w:rsidRPr="006B5562">
        <w:rPr>
          <w:rFonts w:cstheme="minorHAnsi"/>
        </w:rPr>
        <w:t>Notifying the ESFA if a deficit budget is proposed</w:t>
      </w:r>
      <w:r>
        <w:rPr>
          <w:rFonts w:cstheme="minorHAnsi"/>
        </w:rPr>
        <w:t>.</w:t>
      </w:r>
    </w:p>
    <w:p w14:paraId="6CCAFD42" w14:textId="7B0F51CE" w:rsidR="00431F31" w:rsidRPr="00400FAE" w:rsidRDefault="00431F31" w:rsidP="00400FAE">
      <w:pPr>
        <w:pStyle w:val="PolicyBullets"/>
        <w:spacing w:line="240" w:lineRule="auto"/>
        <w:contextualSpacing w:val="0"/>
        <w:jc w:val="both"/>
      </w:pPr>
      <w:r w:rsidRPr="006B5562">
        <w:rPr>
          <w:rFonts w:cstheme="minorHAnsi"/>
        </w:rPr>
        <w:t>Complying with any financial notices to improve</w:t>
      </w:r>
      <w:r>
        <w:rPr>
          <w:rFonts w:cstheme="minorHAnsi"/>
        </w:rPr>
        <w:t>.</w:t>
      </w:r>
    </w:p>
    <w:p w14:paraId="15C23843" w14:textId="77777777" w:rsidR="00400FAE" w:rsidRPr="006B5562" w:rsidRDefault="00400FAE" w:rsidP="00400FAE">
      <w:pPr>
        <w:pStyle w:val="PolicyBullets"/>
        <w:numPr>
          <w:ilvl w:val="0"/>
          <w:numId w:val="0"/>
        </w:numPr>
        <w:spacing w:line="240" w:lineRule="auto"/>
        <w:ind w:left="1922"/>
        <w:contextualSpacing w:val="0"/>
        <w:jc w:val="both"/>
      </w:pPr>
    </w:p>
    <w:p w14:paraId="4262C5C3" w14:textId="77777777" w:rsidR="00431F31" w:rsidRDefault="00431F31" w:rsidP="00400FAE">
      <w:pPr>
        <w:pStyle w:val="TSB-Level1Numbers"/>
        <w:numPr>
          <w:ilvl w:val="0"/>
          <w:numId w:val="0"/>
        </w:numPr>
        <w:spacing w:after="0" w:line="240" w:lineRule="auto"/>
        <w:ind w:left="1480"/>
        <w:rPr>
          <w:b/>
          <w:bCs/>
        </w:rPr>
      </w:pPr>
      <w:r w:rsidRPr="0030090B">
        <w:rPr>
          <w:b/>
          <w:bCs/>
        </w:rPr>
        <w:t>Approval and authorisations</w:t>
      </w:r>
    </w:p>
    <w:p w14:paraId="22F00CDF" w14:textId="77777777" w:rsidR="00B00E9C" w:rsidRPr="0030090B" w:rsidRDefault="00B00E9C" w:rsidP="00400FAE">
      <w:pPr>
        <w:pStyle w:val="TSB-Level1Numbers"/>
        <w:numPr>
          <w:ilvl w:val="0"/>
          <w:numId w:val="0"/>
        </w:numPr>
        <w:spacing w:after="0" w:line="240" w:lineRule="auto"/>
        <w:ind w:left="1480"/>
        <w:rPr>
          <w:b/>
          <w:bCs/>
        </w:rPr>
      </w:pPr>
    </w:p>
    <w:p w14:paraId="62499C2F" w14:textId="5F22A401" w:rsidR="00431F31" w:rsidRPr="00400FAE" w:rsidRDefault="00431F31" w:rsidP="00400FAE">
      <w:pPr>
        <w:pStyle w:val="PolicyBullets"/>
        <w:spacing w:line="240" w:lineRule="auto"/>
        <w:contextualSpacing w:val="0"/>
        <w:jc w:val="both"/>
      </w:pPr>
      <w:r w:rsidRPr="00D97AA5">
        <w:rPr>
          <w:rFonts w:cstheme="minorHAnsi"/>
        </w:rPr>
        <w:t>Approving whistleblowing procedures and ensuring individuals’ right to whistle</w:t>
      </w:r>
      <w:r w:rsidR="00BE492C">
        <w:rPr>
          <w:rFonts w:cstheme="minorHAnsi"/>
        </w:rPr>
        <w:t xml:space="preserve"> </w:t>
      </w:r>
      <w:r w:rsidRPr="00D97AA5">
        <w:rPr>
          <w:rFonts w:cstheme="minorHAnsi"/>
        </w:rPr>
        <w:t xml:space="preserve">blow. At least one trustee and one member of staff </w:t>
      </w:r>
      <w:r>
        <w:rPr>
          <w:rFonts w:cstheme="minorHAnsi"/>
        </w:rPr>
        <w:t>will</w:t>
      </w:r>
      <w:r w:rsidRPr="00D97AA5">
        <w:rPr>
          <w:rFonts w:cstheme="minorHAnsi"/>
        </w:rPr>
        <w:t xml:space="preserve"> be appointed for staff to report concerns to</w:t>
      </w:r>
      <w:r>
        <w:rPr>
          <w:rFonts w:cstheme="minorHAnsi"/>
        </w:rPr>
        <w:t>.</w:t>
      </w:r>
    </w:p>
    <w:p w14:paraId="12614F77" w14:textId="77777777" w:rsidR="00400FAE" w:rsidRPr="005E1A4B" w:rsidRDefault="00400FAE" w:rsidP="00400FAE">
      <w:pPr>
        <w:pStyle w:val="PolicyBullets"/>
        <w:numPr>
          <w:ilvl w:val="0"/>
          <w:numId w:val="0"/>
        </w:numPr>
        <w:spacing w:line="240" w:lineRule="auto"/>
        <w:ind w:left="1922"/>
        <w:contextualSpacing w:val="0"/>
        <w:jc w:val="both"/>
      </w:pPr>
    </w:p>
    <w:p w14:paraId="3CF9A8D1" w14:textId="77777777" w:rsidR="00431F31" w:rsidRDefault="00431F31" w:rsidP="00400FAE">
      <w:pPr>
        <w:pStyle w:val="TSB-Level1Numbers"/>
        <w:numPr>
          <w:ilvl w:val="0"/>
          <w:numId w:val="0"/>
        </w:numPr>
        <w:spacing w:after="0" w:line="240" w:lineRule="auto"/>
        <w:ind w:left="1480"/>
        <w:rPr>
          <w:b/>
          <w:bCs/>
        </w:rPr>
      </w:pPr>
      <w:r w:rsidRPr="0030090B">
        <w:rPr>
          <w:b/>
          <w:bCs/>
        </w:rPr>
        <w:t>Scrutiny, review and oversight</w:t>
      </w:r>
    </w:p>
    <w:p w14:paraId="721F373F" w14:textId="77777777" w:rsidR="00B00E9C" w:rsidRPr="0030090B" w:rsidRDefault="00B00E9C" w:rsidP="00400FAE">
      <w:pPr>
        <w:pStyle w:val="TSB-Level1Numbers"/>
        <w:numPr>
          <w:ilvl w:val="0"/>
          <w:numId w:val="0"/>
        </w:numPr>
        <w:spacing w:after="0" w:line="240" w:lineRule="auto"/>
        <w:ind w:left="1480"/>
        <w:rPr>
          <w:b/>
          <w:bCs/>
        </w:rPr>
      </w:pPr>
    </w:p>
    <w:p w14:paraId="101809BA" w14:textId="74F43F00" w:rsidR="00431F31" w:rsidRPr="005E1A4B" w:rsidRDefault="00431F31" w:rsidP="00400FAE">
      <w:pPr>
        <w:pStyle w:val="PolicyBullets"/>
        <w:spacing w:line="240" w:lineRule="auto"/>
        <w:contextualSpacing w:val="0"/>
        <w:jc w:val="both"/>
        <w:rPr>
          <w:rFonts w:cstheme="minorHAnsi"/>
        </w:rPr>
      </w:pPr>
      <w:r w:rsidRPr="005E1A4B">
        <w:rPr>
          <w:rFonts w:cstheme="minorHAnsi"/>
        </w:rPr>
        <w:t xml:space="preserve">Reviewing and approving the budget forecast return before the </w:t>
      </w:r>
      <w:r w:rsidR="00511E2C">
        <w:rPr>
          <w:rFonts w:cstheme="minorHAnsi"/>
        </w:rPr>
        <w:t xml:space="preserve">30 July annual </w:t>
      </w:r>
      <w:r w:rsidRPr="005E1A4B">
        <w:rPr>
          <w:rFonts w:cstheme="minorHAnsi"/>
        </w:rPr>
        <w:t>deadline for submission</w:t>
      </w:r>
      <w:r w:rsidR="00511E2C">
        <w:rPr>
          <w:rFonts w:cstheme="minorHAnsi"/>
        </w:rPr>
        <w:t xml:space="preserve"> to the ESFA</w:t>
      </w:r>
      <w:r>
        <w:rPr>
          <w:rFonts w:cstheme="minorHAnsi"/>
        </w:rPr>
        <w:t>.</w:t>
      </w:r>
    </w:p>
    <w:p w14:paraId="0539D0DB" w14:textId="77777777" w:rsidR="00431F31" w:rsidRPr="005E1A4B" w:rsidRDefault="00431F31" w:rsidP="00400FAE">
      <w:pPr>
        <w:pStyle w:val="PolicyBullets"/>
        <w:spacing w:line="240" w:lineRule="auto"/>
        <w:contextualSpacing w:val="0"/>
        <w:jc w:val="both"/>
        <w:rPr>
          <w:rFonts w:cstheme="minorHAnsi"/>
        </w:rPr>
      </w:pPr>
      <w:r w:rsidRPr="005E1A4B">
        <w:rPr>
          <w:rFonts w:cstheme="minorHAnsi"/>
        </w:rPr>
        <w:t>Maintaining complete, accurate and up-to-date records of all financial arrangements</w:t>
      </w:r>
      <w:r>
        <w:rPr>
          <w:rFonts w:cstheme="minorHAnsi"/>
        </w:rPr>
        <w:t>.</w:t>
      </w:r>
    </w:p>
    <w:p w14:paraId="160E2273" w14:textId="111FA924" w:rsidR="00431F31" w:rsidRPr="005E1A4B" w:rsidRDefault="00431F31" w:rsidP="00400FAE">
      <w:pPr>
        <w:pStyle w:val="PolicyBullets"/>
        <w:spacing w:line="240" w:lineRule="auto"/>
        <w:contextualSpacing w:val="0"/>
        <w:jc w:val="both"/>
        <w:rPr>
          <w:rFonts w:cstheme="minorHAnsi"/>
        </w:rPr>
      </w:pPr>
      <w:r w:rsidRPr="005E1A4B">
        <w:rPr>
          <w:rFonts w:cstheme="minorHAnsi"/>
        </w:rPr>
        <w:t xml:space="preserve">Ensuring that </w:t>
      </w:r>
      <w:r>
        <w:rPr>
          <w:rFonts w:cstheme="minorHAnsi"/>
        </w:rPr>
        <w:t>the trust</w:t>
      </w:r>
      <w:r w:rsidRPr="005E1A4B">
        <w:rPr>
          <w:rFonts w:cstheme="minorHAnsi"/>
        </w:rPr>
        <w:t xml:space="preserve"> </w:t>
      </w:r>
      <w:r w:rsidR="00E369E6">
        <w:rPr>
          <w:rFonts w:cstheme="minorHAnsi"/>
        </w:rPr>
        <w:t>is</w:t>
      </w:r>
      <w:r w:rsidRPr="005E1A4B">
        <w:rPr>
          <w:rFonts w:cstheme="minorHAnsi"/>
        </w:rPr>
        <w:t xml:space="preserve"> following the recommended operational and internal controls provided by the board</w:t>
      </w:r>
      <w:r w:rsidR="00E369E6">
        <w:rPr>
          <w:rFonts w:cstheme="minorHAnsi"/>
        </w:rPr>
        <w:t xml:space="preserve"> of trustees</w:t>
      </w:r>
      <w:r>
        <w:rPr>
          <w:rFonts w:cstheme="minorHAnsi"/>
        </w:rPr>
        <w:t>.</w:t>
      </w:r>
    </w:p>
    <w:p w14:paraId="065DC05F" w14:textId="77777777" w:rsidR="00431F31" w:rsidRPr="006B5562" w:rsidRDefault="00431F31" w:rsidP="00400FAE">
      <w:pPr>
        <w:pStyle w:val="PolicyBullets"/>
        <w:spacing w:line="240" w:lineRule="auto"/>
        <w:contextualSpacing w:val="0"/>
        <w:jc w:val="both"/>
        <w:rPr>
          <w:rFonts w:cstheme="minorHAnsi"/>
        </w:rPr>
      </w:pPr>
      <w:r w:rsidRPr="006B5562">
        <w:rPr>
          <w:rFonts w:cstheme="minorHAnsi"/>
        </w:rPr>
        <w:t>Preparing and monitoring financial plans to ensure the financial health of the trust</w:t>
      </w:r>
      <w:r>
        <w:rPr>
          <w:rFonts w:cstheme="minorHAnsi"/>
        </w:rPr>
        <w:t>.</w:t>
      </w:r>
    </w:p>
    <w:p w14:paraId="6C60B118" w14:textId="54C328AD" w:rsidR="00431F31" w:rsidRPr="001B1560" w:rsidRDefault="00431F31" w:rsidP="00400FAE">
      <w:pPr>
        <w:pStyle w:val="PolicyBullets"/>
        <w:spacing w:line="240" w:lineRule="auto"/>
        <w:contextualSpacing w:val="0"/>
        <w:jc w:val="both"/>
        <w:rPr>
          <w:rFonts w:cstheme="minorHAnsi"/>
        </w:rPr>
      </w:pPr>
      <w:r w:rsidRPr="006B5562">
        <w:rPr>
          <w:rFonts w:cstheme="minorHAnsi"/>
        </w:rPr>
        <w:t>Reviewing financial reports prior to the submission of the audited financial statements to th</w:t>
      </w:r>
      <w:r w:rsidRPr="001B1560">
        <w:rPr>
          <w:rFonts w:cstheme="minorHAnsi"/>
        </w:rPr>
        <w:t>e Secretary of State by 31 December</w:t>
      </w:r>
      <w:r w:rsidR="00B00E9C">
        <w:rPr>
          <w:rFonts w:cstheme="minorHAnsi"/>
        </w:rPr>
        <w:t xml:space="preserve"> and ensuring that these statements are filed at </w:t>
      </w:r>
      <w:proofErr w:type="gramStart"/>
      <w:r w:rsidR="00B00E9C">
        <w:rPr>
          <w:rFonts w:cstheme="minorHAnsi"/>
        </w:rPr>
        <w:t>companies</w:t>
      </w:r>
      <w:proofErr w:type="gramEnd"/>
      <w:r w:rsidR="00B00E9C">
        <w:rPr>
          <w:rFonts w:cstheme="minorHAnsi"/>
        </w:rPr>
        <w:t xml:space="preserve"> house before 31 May each year</w:t>
      </w:r>
      <w:r>
        <w:rPr>
          <w:rFonts w:cstheme="minorHAnsi"/>
        </w:rPr>
        <w:t>.</w:t>
      </w:r>
    </w:p>
    <w:p w14:paraId="5476D297" w14:textId="079A2AA7" w:rsidR="00431F31" w:rsidRPr="00CD45C2" w:rsidRDefault="00431F31" w:rsidP="00400FAE">
      <w:pPr>
        <w:pStyle w:val="PolicyBullets"/>
        <w:spacing w:line="240" w:lineRule="auto"/>
        <w:contextualSpacing w:val="0"/>
        <w:jc w:val="both"/>
        <w:rPr>
          <w:rFonts w:cstheme="minorHAnsi"/>
          <w:color w:val="000000" w:themeColor="text1"/>
        </w:rPr>
      </w:pPr>
      <w:r w:rsidRPr="001B1560">
        <w:rPr>
          <w:rFonts w:cstheme="minorHAnsi"/>
        </w:rPr>
        <w:t xml:space="preserve">Reviewing all pay awards, with any decisions reported to the </w:t>
      </w:r>
      <w:r w:rsidR="009758BD">
        <w:rPr>
          <w:rFonts w:cstheme="minorHAnsi"/>
          <w:color w:val="000000" w:themeColor="text1"/>
        </w:rPr>
        <w:t>Finance</w:t>
      </w:r>
      <w:r w:rsidR="00CD45C2" w:rsidRPr="00CD45C2">
        <w:rPr>
          <w:rFonts w:cstheme="minorHAnsi"/>
          <w:color w:val="000000" w:themeColor="text1"/>
        </w:rPr>
        <w:t>s C</w:t>
      </w:r>
      <w:r w:rsidR="00ED04DD" w:rsidRPr="00CD45C2">
        <w:rPr>
          <w:rFonts w:cstheme="minorHAnsi"/>
          <w:color w:val="000000" w:themeColor="text1"/>
        </w:rPr>
        <w:t>ommittee</w:t>
      </w:r>
      <w:r w:rsidRPr="00CD45C2">
        <w:rPr>
          <w:rFonts w:cstheme="minorHAnsi"/>
          <w:color w:val="000000" w:themeColor="text1"/>
        </w:rPr>
        <w:t>.</w:t>
      </w:r>
    </w:p>
    <w:p w14:paraId="6D79C1D8" w14:textId="77777777" w:rsidR="00431F31" w:rsidRPr="001B1560" w:rsidRDefault="00431F31" w:rsidP="00400FAE">
      <w:pPr>
        <w:pStyle w:val="PolicyBullets"/>
        <w:spacing w:line="240" w:lineRule="auto"/>
        <w:contextualSpacing w:val="0"/>
        <w:jc w:val="both"/>
        <w:rPr>
          <w:rFonts w:cstheme="minorHAnsi"/>
        </w:rPr>
      </w:pPr>
      <w:r w:rsidRPr="001B1560">
        <w:rPr>
          <w:rFonts w:cstheme="minorHAnsi"/>
        </w:rPr>
        <w:t>Including contingency and business continuity planning as part of risk management procedures</w:t>
      </w:r>
      <w:r>
        <w:rPr>
          <w:rFonts w:cstheme="minorHAnsi"/>
        </w:rPr>
        <w:t>.</w:t>
      </w:r>
    </w:p>
    <w:p w14:paraId="730E773F" w14:textId="77777777" w:rsidR="00431F31" w:rsidRPr="001B1560" w:rsidRDefault="00431F31" w:rsidP="00400FAE">
      <w:pPr>
        <w:pStyle w:val="PolicyBullets"/>
        <w:spacing w:line="240" w:lineRule="auto"/>
        <w:contextualSpacing w:val="0"/>
        <w:jc w:val="both"/>
        <w:rPr>
          <w:rFonts w:cstheme="minorHAnsi"/>
        </w:rPr>
      </w:pPr>
      <w:r w:rsidRPr="001B1560">
        <w:rPr>
          <w:rFonts w:cstheme="minorHAnsi"/>
        </w:rPr>
        <w:t>Ensuring sound internal control, risk management and assurance processes are in place</w:t>
      </w:r>
      <w:r>
        <w:rPr>
          <w:rFonts w:cstheme="minorHAnsi"/>
        </w:rPr>
        <w:t>.</w:t>
      </w:r>
    </w:p>
    <w:p w14:paraId="0D01AECA" w14:textId="0F3EF141" w:rsidR="00431F31" w:rsidRPr="001B1560" w:rsidRDefault="00431F31" w:rsidP="00400FAE">
      <w:pPr>
        <w:pStyle w:val="PolicyBullets"/>
        <w:spacing w:line="240" w:lineRule="auto"/>
        <w:contextualSpacing w:val="0"/>
        <w:jc w:val="both"/>
        <w:rPr>
          <w:rFonts w:cstheme="minorHAnsi"/>
        </w:rPr>
      </w:pPr>
      <w:r w:rsidRPr="001B1560">
        <w:rPr>
          <w:rFonts w:cstheme="minorHAnsi"/>
        </w:rPr>
        <w:t>Ensuring the protocol and requirements for managing related party transactions are followed and applied</w:t>
      </w:r>
      <w:r>
        <w:rPr>
          <w:rFonts w:cstheme="minorHAnsi"/>
        </w:rPr>
        <w:t>.</w:t>
      </w:r>
    </w:p>
    <w:p w14:paraId="224469DE" w14:textId="59E0AFBE" w:rsidR="00431F31" w:rsidRPr="001B1560" w:rsidRDefault="00431F31" w:rsidP="00400FAE">
      <w:pPr>
        <w:pStyle w:val="PolicyBullets"/>
        <w:spacing w:line="240" w:lineRule="auto"/>
        <w:contextualSpacing w:val="0"/>
        <w:jc w:val="both"/>
        <w:rPr>
          <w:rFonts w:cstheme="minorHAnsi"/>
        </w:rPr>
      </w:pPr>
      <w:r w:rsidRPr="001B1560">
        <w:rPr>
          <w:rFonts w:cstheme="minorHAnsi"/>
        </w:rPr>
        <w:t>Ensuring adequate insurance cover is obtained in compliance with legal obligations</w:t>
      </w:r>
      <w:r>
        <w:rPr>
          <w:rFonts w:cstheme="minorHAnsi"/>
        </w:rPr>
        <w:t>.</w:t>
      </w:r>
    </w:p>
    <w:p w14:paraId="359E413E" w14:textId="3A323C28" w:rsidR="00431F31" w:rsidRPr="00400FAE" w:rsidRDefault="00431F31" w:rsidP="00400FAE">
      <w:pPr>
        <w:pStyle w:val="PolicyBullets"/>
        <w:spacing w:line="240" w:lineRule="auto"/>
        <w:contextualSpacing w:val="0"/>
        <w:jc w:val="both"/>
      </w:pPr>
      <w:r w:rsidRPr="001B1560">
        <w:rPr>
          <w:rFonts w:cstheme="minorHAnsi"/>
        </w:rPr>
        <w:t>Ensuring the governance statement</w:t>
      </w:r>
      <w:r>
        <w:rPr>
          <w:rFonts w:cstheme="minorHAnsi"/>
        </w:rPr>
        <w:t>, published alongside the annual accounts,</w:t>
      </w:r>
      <w:r w:rsidRPr="001B1560">
        <w:rPr>
          <w:rFonts w:cstheme="minorHAnsi"/>
        </w:rPr>
        <w:t xml:space="preserve"> meets the requirements of the </w:t>
      </w:r>
      <w:r w:rsidR="00835F21">
        <w:rPr>
          <w:rFonts w:cstheme="minorHAnsi"/>
        </w:rPr>
        <w:t>AFH</w:t>
      </w:r>
      <w:r>
        <w:rPr>
          <w:rFonts w:cstheme="minorHAnsi"/>
        </w:rPr>
        <w:t>.</w:t>
      </w:r>
    </w:p>
    <w:p w14:paraId="343A9FA7" w14:textId="77777777" w:rsidR="00400FAE" w:rsidRPr="001B1560" w:rsidRDefault="00400FAE" w:rsidP="00400FAE">
      <w:pPr>
        <w:pStyle w:val="PolicyBullets"/>
        <w:numPr>
          <w:ilvl w:val="0"/>
          <w:numId w:val="0"/>
        </w:numPr>
        <w:spacing w:line="240" w:lineRule="auto"/>
        <w:ind w:left="1922"/>
        <w:contextualSpacing w:val="0"/>
        <w:jc w:val="both"/>
      </w:pPr>
    </w:p>
    <w:p w14:paraId="1339A7F7" w14:textId="12A42C1D" w:rsidR="00431F31" w:rsidRDefault="00431F31" w:rsidP="00400FAE">
      <w:pPr>
        <w:pStyle w:val="TSB-Level1Numbers"/>
        <w:numPr>
          <w:ilvl w:val="0"/>
          <w:numId w:val="0"/>
        </w:numPr>
        <w:spacing w:after="0" w:line="240" w:lineRule="auto"/>
        <w:ind w:left="1480"/>
        <w:rPr>
          <w:b/>
          <w:bCs/>
        </w:rPr>
      </w:pPr>
      <w:r w:rsidRPr="0030090B">
        <w:rPr>
          <w:b/>
          <w:bCs/>
        </w:rPr>
        <w:t xml:space="preserve">Appointing </w:t>
      </w:r>
      <w:r w:rsidR="0030090B" w:rsidRPr="0030090B">
        <w:rPr>
          <w:b/>
          <w:bCs/>
        </w:rPr>
        <w:t>an audit committee</w:t>
      </w:r>
    </w:p>
    <w:p w14:paraId="377138EC" w14:textId="77777777" w:rsidR="00B00E9C" w:rsidRPr="0030090B" w:rsidRDefault="00B00E9C" w:rsidP="00400FAE">
      <w:pPr>
        <w:pStyle w:val="TSB-Level1Numbers"/>
        <w:numPr>
          <w:ilvl w:val="0"/>
          <w:numId w:val="0"/>
        </w:numPr>
        <w:spacing w:after="0" w:line="240" w:lineRule="auto"/>
        <w:ind w:left="1480"/>
        <w:rPr>
          <w:b/>
          <w:bCs/>
        </w:rPr>
      </w:pPr>
    </w:p>
    <w:p w14:paraId="25ED6A4D" w14:textId="249F0457" w:rsidR="00431F31" w:rsidRDefault="00431F31" w:rsidP="00400FAE">
      <w:pPr>
        <w:pStyle w:val="PolicyBullets"/>
        <w:spacing w:line="240" w:lineRule="auto"/>
        <w:contextualSpacing w:val="0"/>
        <w:jc w:val="both"/>
        <w:rPr>
          <w:rFonts w:cstheme="minorHAnsi"/>
        </w:rPr>
      </w:pPr>
      <w:r w:rsidRPr="00D97AA5">
        <w:rPr>
          <w:rFonts w:cstheme="minorHAnsi"/>
        </w:rPr>
        <w:t>Appointing an audit committee</w:t>
      </w:r>
      <w:r>
        <w:rPr>
          <w:rFonts w:cstheme="minorHAnsi"/>
        </w:rPr>
        <w:t>, in line with the following requirements:</w:t>
      </w:r>
    </w:p>
    <w:p w14:paraId="32F775AE" w14:textId="31671DFE" w:rsidR="00431F31" w:rsidRDefault="00431F31" w:rsidP="00400FAE">
      <w:pPr>
        <w:pStyle w:val="PolicyBullets"/>
        <w:numPr>
          <w:ilvl w:val="1"/>
          <w:numId w:val="27"/>
        </w:numPr>
        <w:spacing w:line="240" w:lineRule="auto"/>
        <w:contextualSpacing w:val="0"/>
        <w:jc w:val="both"/>
        <w:rPr>
          <w:rFonts w:cstheme="minorHAnsi"/>
        </w:rPr>
      </w:pPr>
      <w:r>
        <w:rPr>
          <w:rFonts w:cstheme="minorHAnsi"/>
        </w:rPr>
        <w:t xml:space="preserve">The trust </w:t>
      </w:r>
      <w:r w:rsidR="00CD45C2">
        <w:rPr>
          <w:rFonts w:cstheme="minorHAnsi"/>
        </w:rPr>
        <w:t xml:space="preserve">has determined that the remit of the audit committee will be included within the Terms of Reference of the </w:t>
      </w:r>
      <w:r w:rsidR="009758BD">
        <w:rPr>
          <w:rFonts w:cstheme="minorHAnsi"/>
        </w:rPr>
        <w:t>Finance</w:t>
      </w:r>
      <w:r w:rsidR="00CD45C2">
        <w:rPr>
          <w:rFonts w:cstheme="minorHAnsi"/>
        </w:rPr>
        <w:t>s Committee.</w:t>
      </w:r>
      <w:r w:rsidR="00CD45C2" w:rsidRPr="00310ACF">
        <w:rPr>
          <w:rFonts w:cstheme="minorHAnsi"/>
          <w:b/>
          <w:bCs/>
          <w:color w:val="347186"/>
        </w:rPr>
        <w:t xml:space="preserve"> </w:t>
      </w:r>
    </w:p>
    <w:p w14:paraId="5A6A6488" w14:textId="037646D0" w:rsidR="00431F31" w:rsidRDefault="00431F31" w:rsidP="00400FAE">
      <w:pPr>
        <w:pStyle w:val="PolicyBullets"/>
        <w:numPr>
          <w:ilvl w:val="1"/>
          <w:numId w:val="27"/>
        </w:numPr>
        <w:spacing w:line="240" w:lineRule="auto"/>
        <w:contextualSpacing w:val="0"/>
        <w:jc w:val="both"/>
        <w:rPr>
          <w:rFonts w:cstheme="minorHAnsi"/>
        </w:rPr>
      </w:pPr>
      <w:r>
        <w:rPr>
          <w:rFonts w:cstheme="minorHAnsi"/>
        </w:rPr>
        <w:t xml:space="preserve">The </w:t>
      </w:r>
      <w:r w:rsidR="00ED04DD">
        <w:rPr>
          <w:rFonts w:ascii="Arial" w:hAnsi="Arial" w:cstheme="minorHAnsi"/>
          <w:bCs/>
        </w:rPr>
        <w:t>audit committee</w:t>
      </w:r>
      <w:r w:rsidRPr="00095AF6">
        <w:rPr>
          <w:rFonts w:cstheme="minorHAnsi"/>
          <w:color w:val="FFD006"/>
        </w:rPr>
        <w:t xml:space="preserve"> </w:t>
      </w:r>
      <w:r w:rsidR="001635B2">
        <w:rPr>
          <w:rFonts w:cstheme="minorHAnsi"/>
        </w:rPr>
        <w:t>must</w:t>
      </w:r>
      <w:r w:rsidR="007250F7">
        <w:rPr>
          <w:rFonts w:cstheme="minorHAnsi"/>
        </w:rPr>
        <w:t xml:space="preserve"> </w:t>
      </w:r>
      <w:r>
        <w:rPr>
          <w:rFonts w:cstheme="minorHAnsi"/>
        </w:rPr>
        <w:t>meet at least three times a year</w:t>
      </w:r>
    </w:p>
    <w:p w14:paraId="20A01AEF" w14:textId="6B875ECB" w:rsidR="004C6949" w:rsidRDefault="00431F31" w:rsidP="00400FAE">
      <w:pPr>
        <w:pStyle w:val="PolicyBullets"/>
        <w:numPr>
          <w:ilvl w:val="1"/>
          <w:numId w:val="27"/>
        </w:numPr>
        <w:spacing w:line="240" w:lineRule="auto"/>
        <w:contextualSpacing w:val="0"/>
        <w:jc w:val="both"/>
        <w:rPr>
          <w:rFonts w:cstheme="minorHAnsi"/>
        </w:rPr>
      </w:pPr>
      <w:r>
        <w:rPr>
          <w:rFonts w:cstheme="minorHAnsi"/>
        </w:rPr>
        <w:t xml:space="preserve">The </w:t>
      </w:r>
      <w:r w:rsidR="00ED04DD">
        <w:rPr>
          <w:rFonts w:ascii="Arial" w:hAnsi="Arial" w:cstheme="minorHAnsi"/>
          <w:bCs/>
        </w:rPr>
        <w:t>audit committee</w:t>
      </w:r>
      <w:r w:rsidRPr="00095AF6">
        <w:rPr>
          <w:rFonts w:cstheme="minorHAnsi"/>
          <w:color w:val="FFD006"/>
        </w:rPr>
        <w:t xml:space="preserve"> </w:t>
      </w:r>
      <w:r>
        <w:rPr>
          <w:rFonts w:cstheme="minorHAnsi"/>
        </w:rPr>
        <w:t>will direct the trust’s programme of internal scrutiny and report to the board of trustees on the quality of the trust’s financial controls and risk management procedures</w:t>
      </w:r>
    </w:p>
    <w:p w14:paraId="3E9FAAD2" w14:textId="434C8BA8" w:rsidR="00431F31" w:rsidRPr="007D21D3" w:rsidRDefault="007250F7" w:rsidP="00400FAE">
      <w:pPr>
        <w:pStyle w:val="PolicyBullets"/>
        <w:numPr>
          <w:ilvl w:val="1"/>
          <w:numId w:val="27"/>
        </w:numPr>
        <w:spacing w:line="240" w:lineRule="auto"/>
        <w:contextualSpacing w:val="0"/>
        <w:jc w:val="both"/>
      </w:pPr>
      <w:r>
        <w:rPr>
          <w:rFonts w:cstheme="minorHAnsi"/>
        </w:rPr>
        <w:t xml:space="preserve">There will be </w:t>
      </w:r>
      <w:r w:rsidR="004C6949">
        <w:rPr>
          <w:rFonts w:cstheme="minorHAnsi"/>
        </w:rPr>
        <w:t>clear terms of reference in place</w:t>
      </w:r>
      <w:r w:rsidR="004C6949">
        <w:t xml:space="preserve"> which outline the role of the </w:t>
      </w:r>
      <w:r w:rsidR="00ED04DD">
        <w:rPr>
          <w:rFonts w:ascii="Arial" w:hAnsi="Arial"/>
          <w:bCs/>
        </w:rPr>
        <w:t>audit committee</w:t>
      </w:r>
      <w:r w:rsidR="004C6949">
        <w:t>, including</w:t>
      </w:r>
      <w:r w:rsidR="004C6949" w:rsidRPr="00CF28FF">
        <w:t> advis</w:t>
      </w:r>
      <w:r w:rsidR="004C6949">
        <w:t>ing</w:t>
      </w:r>
      <w:r w:rsidR="004C6949" w:rsidRPr="00CF28FF">
        <w:t xml:space="preserve"> on the adequacy of financial and other controls and risk management arrangements in the trust</w:t>
      </w:r>
      <w:r w:rsidR="004C6949">
        <w:t>.</w:t>
      </w:r>
      <w:r w:rsidR="004C6949" w:rsidRPr="00CF28FF">
        <w:t xml:space="preserve"> </w:t>
      </w:r>
      <w:r w:rsidR="004C6949">
        <w:t>The committee</w:t>
      </w:r>
      <w:r w:rsidR="004C6949" w:rsidRPr="00CF28FF">
        <w:t xml:space="preserve"> must also direct a programme of internal scrutiny and consider the results and quality of any external audit</w:t>
      </w:r>
      <w:r w:rsidR="00431F31" w:rsidRPr="004C6949">
        <w:rPr>
          <w:rFonts w:cstheme="minorHAnsi"/>
        </w:rPr>
        <w:t xml:space="preserve"> </w:t>
      </w:r>
    </w:p>
    <w:p w14:paraId="73A95FC8" w14:textId="6A9673E3" w:rsidR="007D21D3" w:rsidRDefault="007D21D3" w:rsidP="00400FAE">
      <w:pPr>
        <w:pStyle w:val="TSB-Level1Numbers"/>
        <w:numPr>
          <w:ilvl w:val="1"/>
          <w:numId w:val="27"/>
        </w:numPr>
        <w:spacing w:after="0" w:line="240" w:lineRule="auto"/>
      </w:pPr>
      <w:r>
        <w:t xml:space="preserve">Employees of the trust are not permitted to be members of the </w:t>
      </w:r>
      <w:r w:rsidR="00ED04DD">
        <w:rPr>
          <w:rFonts w:ascii="Arial" w:hAnsi="Arial"/>
          <w:bCs/>
        </w:rPr>
        <w:t>audit committee</w:t>
      </w:r>
      <w:r>
        <w:t xml:space="preserve">; however, the accounting officer and </w:t>
      </w:r>
      <w:r w:rsidR="00D61B32" w:rsidRPr="00CD45C2">
        <w:rPr>
          <w:color w:val="000000" w:themeColor="text1"/>
        </w:rPr>
        <w:t xml:space="preserve">CFO </w:t>
      </w:r>
      <w:r>
        <w:t>should attend committee meetings to provide information and participate in discussions</w:t>
      </w:r>
    </w:p>
    <w:p w14:paraId="17B41C2B" w14:textId="28E8ACB9" w:rsidR="007D21D3" w:rsidRDefault="007D21D3" w:rsidP="00400FAE">
      <w:pPr>
        <w:pStyle w:val="TSB-Level1Numbers"/>
        <w:numPr>
          <w:ilvl w:val="1"/>
          <w:numId w:val="27"/>
        </w:numPr>
        <w:spacing w:after="0" w:line="240" w:lineRule="auto"/>
      </w:pPr>
      <w:r>
        <w:t xml:space="preserve">Only </w:t>
      </w:r>
      <w:r w:rsidR="001635B2">
        <w:t>appointed</w:t>
      </w:r>
      <w:r>
        <w:t xml:space="preserve"> members of the </w:t>
      </w:r>
      <w:r w:rsidR="00ED04DD">
        <w:rPr>
          <w:rFonts w:ascii="Arial" w:hAnsi="Arial"/>
          <w:bCs/>
        </w:rPr>
        <w:t>audit committee</w:t>
      </w:r>
      <w:r>
        <w:t>, who have been approved by the board of trustees, will vote on any matters – the committee can, however, appoint non-voting members to advise the committee</w:t>
      </w:r>
    </w:p>
    <w:p w14:paraId="5850DC0A" w14:textId="7DC6AF59" w:rsidR="007D21D3" w:rsidRDefault="007D21D3" w:rsidP="00400FAE">
      <w:pPr>
        <w:pStyle w:val="TSB-Level1Numbers"/>
        <w:numPr>
          <w:ilvl w:val="1"/>
          <w:numId w:val="27"/>
        </w:numPr>
        <w:spacing w:after="0" w:line="240" w:lineRule="auto"/>
      </w:pPr>
      <w:r>
        <w:t xml:space="preserve">Members of the </w:t>
      </w:r>
      <w:r w:rsidR="00ED04DD">
        <w:rPr>
          <w:rFonts w:ascii="Arial" w:hAnsi="Arial"/>
          <w:bCs/>
        </w:rPr>
        <w:t>audit committee</w:t>
      </w:r>
      <w:r w:rsidRPr="00095AF6">
        <w:rPr>
          <w:color w:val="FFD006"/>
        </w:rPr>
        <w:t xml:space="preserve"> </w:t>
      </w:r>
      <w:r>
        <w:t>will withdraw from the meeting if there is an identified or potential conflict of interest, or there is a motion to question their ability to remain impartial</w:t>
      </w:r>
      <w:r w:rsidR="00400FAE">
        <w:t>.</w:t>
      </w:r>
    </w:p>
    <w:p w14:paraId="4A41ECAE" w14:textId="77777777" w:rsidR="00400FAE" w:rsidRPr="0030090B" w:rsidRDefault="00400FAE" w:rsidP="00400FAE">
      <w:pPr>
        <w:pStyle w:val="TSB-Level1Numbers"/>
        <w:numPr>
          <w:ilvl w:val="0"/>
          <w:numId w:val="0"/>
        </w:numPr>
        <w:spacing w:after="0" w:line="240" w:lineRule="auto"/>
        <w:ind w:left="2645"/>
      </w:pPr>
    </w:p>
    <w:p w14:paraId="265D2AC0" w14:textId="0EE1B282" w:rsidR="0030090B" w:rsidRDefault="0030090B" w:rsidP="00400FAE">
      <w:pPr>
        <w:pStyle w:val="TSB-Level1Numbers"/>
        <w:numPr>
          <w:ilvl w:val="0"/>
          <w:numId w:val="0"/>
        </w:numPr>
        <w:spacing w:after="0" w:line="240" w:lineRule="auto"/>
        <w:ind w:left="1480"/>
        <w:rPr>
          <w:b/>
          <w:bCs/>
        </w:rPr>
      </w:pPr>
      <w:r w:rsidRPr="0030090B">
        <w:rPr>
          <w:b/>
          <w:bCs/>
        </w:rPr>
        <w:t>Appointing staff</w:t>
      </w:r>
    </w:p>
    <w:p w14:paraId="0B415E3D" w14:textId="77777777" w:rsidR="00B00E9C" w:rsidRPr="0030090B" w:rsidRDefault="00B00E9C" w:rsidP="00400FAE">
      <w:pPr>
        <w:pStyle w:val="TSB-Level1Numbers"/>
        <w:numPr>
          <w:ilvl w:val="0"/>
          <w:numId w:val="0"/>
        </w:numPr>
        <w:spacing w:after="0" w:line="240" w:lineRule="auto"/>
        <w:ind w:left="1480"/>
        <w:rPr>
          <w:b/>
          <w:bCs/>
        </w:rPr>
      </w:pPr>
    </w:p>
    <w:p w14:paraId="0E6905F8" w14:textId="5E21B915" w:rsidR="00431F31" w:rsidRDefault="00431F31" w:rsidP="00400FAE">
      <w:pPr>
        <w:pStyle w:val="PolicyBullets"/>
        <w:spacing w:line="240" w:lineRule="auto"/>
        <w:contextualSpacing w:val="0"/>
        <w:jc w:val="both"/>
      </w:pPr>
      <w:r w:rsidRPr="00BC38D0">
        <w:t>Appointing a senior executive officer, who will also be the trust's accounting officer</w:t>
      </w:r>
      <w:r w:rsidR="00075437">
        <w:t>.</w:t>
      </w:r>
    </w:p>
    <w:p w14:paraId="4EC64DB8" w14:textId="77777777" w:rsidR="00400FAE" w:rsidRPr="00BC38D0" w:rsidRDefault="00400FAE" w:rsidP="00400FAE">
      <w:pPr>
        <w:pStyle w:val="PolicyBullets"/>
        <w:numPr>
          <w:ilvl w:val="0"/>
          <w:numId w:val="0"/>
        </w:numPr>
        <w:spacing w:line="240" w:lineRule="auto"/>
        <w:ind w:left="1922"/>
        <w:contextualSpacing w:val="0"/>
        <w:jc w:val="both"/>
      </w:pPr>
    </w:p>
    <w:p w14:paraId="6E16C01A" w14:textId="173B01C3" w:rsidR="00431F31" w:rsidRPr="00902F3C" w:rsidRDefault="00824E5C" w:rsidP="00400FAE">
      <w:pPr>
        <w:pStyle w:val="TSB-Level1Numbers"/>
        <w:spacing w:after="0" w:line="240" w:lineRule="auto"/>
      </w:pPr>
      <w:r>
        <w:t xml:space="preserve">The board will delegate </w:t>
      </w:r>
      <w:r w:rsidRPr="00824E5C">
        <w:t>the</w:t>
      </w:r>
      <w:r w:rsidR="00431F31" w:rsidRPr="00902F3C">
        <w:t xml:space="preserve"> performance management </w:t>
      </w:r>
      <w:r>
        <w:t xml:space="preserve">of the Academy Principal </w:t>
      </w:r>
      <w:r w:rsidR="00431F31" w:rsidRPr="00902F3C">
        <w:t xml:space="preserve">to the </w:t>
      </w:r>
      <w:r w:rsidR="009758BD">
        <w:rPr>
          <w:bCs/>
        </w:rPr>
        <w:t>Finance</w:t>
      </w:r>
      <w:r w:rsidRPr="00824E5C">
        <w:rPr>
          <w:bCs/>
        </w:rPr>
        <w:t>s Committee</w:t>
      </w:r>
      <w:r w:rsidR="00431F31" w:rsidRPr="00824E5C">
        <w:t xml:space="preserve"> </w:t>
      </w:r>
      <w:r w:rsidR="00431F31" w:rsidRPr="00902F3C">
        <w:t xml:space="preserve">on an annual basis, as well as any resulting pay awards. </w:t>
      </w:r>
    </w:p>
    <w:p w14:paraId="79D48A72" w14:textId="1F5C3D63" w:rsidR="00431F31" w:rsidRPr="00902F3C" w:rsidRDefault="00431F31" w:rsidP="00400FAE">
      <w:pPr>
        <w:pStyle w:val="TSB-Level1Numbers"/>
        <w:spacing w:after="0" w:line="240" w:lineRule="auto"/>
      </w:pPr>
      <w:r w:rsidRPr="00902F3C">
        <w:t>All</w:t>
      </w:r>
      <w:r w:rsidR="001635B2">
        <w:t xml:space="preserve"> executive and</w:t>
      </w:r>
      <w:r w:rsidRPr="00902F3C">
        <w:t xml:space="preserve"> senior leadership appointments will be approved by the board</w:t>
      </w:r>
      <w:r>
        <w:t>.</w:t>
      </w:r>
      <w:r w:rsidR="00390E2D">
        <w:t xml:space="preserve"> </w:t>
      </w:r>
    </w:p>
    <w:p w14:paraId="74DE312C" w14:textId="4AE1DFED" w:rsidR="00835F21" w:rsidRDefault="00431F31" w:rsidP="00400FAE">
      <w:pPr>
        <w:pStyle w:val="TSB-Level1Numbers"/>
        <w:spacing w:after="0" w:line="240" w:lineRule="auto"/>
      </w:pPr>
      <w:r w:rsidRPr="00902F3C">
        <w:t xml:space="preserve">The chair of the </w:t>
      </w:r>
      <w:r>
        <w:t>board of trustees</w:t>
      </w:r>
      <w:r w:rsidRPr="00902F3C">
        <w:t xml:space="preserve"> and the accounting officer </w:t>
      </w:r>
      <w:proofErr w:type="gramStart"/>
      <w:r w:rsidRPr="00902F3C">
        <w:t>are</w:t>
      </w:r>
      <w:proofErr w:type="gramEnd"/>
      <w:r w:rsidRPr="00902F3C">
        <w:t xml:space="preserve"> responsible for ensuring that the capacity</w:t>
      </w:r>
      <w:r w:rsidR="0030090B">
        <w:t xml:space="preserve"> of executive and senior leaders</w:t>
      </w:r>
      <w:r w:rsidRPr="00902F3C">
        <w:t xml:space="preserve"> to control and influence does not conflict with the requirements for managing connected party transactions. </w:t>
      </w:r>
    </w:p>
    <w:p w14:paraId="2FDC4B01" w14:textId="28A065AF" w:rsidR="00F16F9E" w:rsidRDefault="00431F31" w:rsidP="00400FAE">
      <w:pPr>
        <w:pStyle w:val="TSB-Level1Numbers"/>
        <w:spacing w:after="0" w:line="240" w:lineRule="auto"/>
      </w:pPr>
      <w:r w:rsidRPr="00902F3C">
        <w:t xml:space="preserve">The </w:t>
      </w:r>
      <w:r>
        <w:t>board of trustees</w:t>
      </w:r>
      <w:r w:rsidRPr="00902F3C">
        <w:t xml:space="preserve"> will inform the ESFA if it suspects any irregularity regarding trust funds and instances of fraud or theft exceeding £5000 in a financial year.</w:t>
      </w:r>
    </w:p>
    <w:p w14:paraId="2C69BC3F" w14:textId="77777777" w:rsidR="00400FAE" w:rsidRPr="00530E26" w:rsidRDefault="00400FAE" w:rsidP="00400FAE">
      <w:pPr>
        <w:pStyle w:val="TSB-Level1Numbers"/>
        <w:numPr>
          <w:ilvl w:val="0"/>
          <w:numId w:val="0"/>
        </w:numPr>
        <w:spacing w:after="0" w:line="240" w:lineRule="auto"/>
        <w:ind w:left="1480"/>
      </w:pPr>
    </w:p>
    <w:p w14:paraId="16DA2BDB" w14:textId="3518EC2F" w:rsidR="00530E26" w:rsidRDefault="00924EE7" w:rsidP="00400FAE">
      <w:pPr>
        <w:pStyle w:val="Heading10"/>
        <w:spacing w:after="0" w:line="240" w:lineRule="auto"/>
      </w:pPr>
      <w:bookmarkStart w:id="17" w:name="_Delegated_powers_of_2"/>
      <w:bookmarkEnd w:id="17"/>
      <w:r>
        <w:t>Delegated</w:t>
      </w:r>
      <w:r w:rsidR="001635B2">
        <w:t xml:space="preserve"> </w:t>
      </w:r>
      <w:r w:rsidR="008F3095">
        <w:t>powers</w:t>
      </w:r>
      <w:r>
        <w:t xml:space="preserve"> of the accounting officer</w:t>
      </w:r>
    </w:p>
    <w:p w14:paraId="6D8E672A" w14:textId="77777777" w:rsidR="00B00E9C" w:rsidRPr="00B00E9C" w:rsidRDefault="00B00E9C" w:rsidP="00B00E9C"/>
    <w:p w14:paraId="76B3BD81" w14:textId="005E3BB1" w:rsidR="003D0939" w:rsidRPr="0008458D" w:rsidRDefault="003D0939" w:rsidP="00400FAE">
      <w:pPr>
        <w:pStyle w:val="TSB-Level1Numbers"/>
        <w:spacing w:after="0" w:line="240" w:lineRule="auto"/>
      </w:pPr>
      <w:r w:rsidRPr="0008458D">
        <w:t xml:space="preserve">The accounting officer also acts as an executive </w:t>
      </w:r>
      <w:proofErr w:type="gramStart"/>
      <w:r w:rsidRPr="0008458D">
        <w:t>leader, and</w:t>
      </w:r>
      <w:proofErr w:type="gramEnd"/>
      <w:r w:rsidRPr="0008458D">
        <w:t xml:space="preserve"> is therefore responsible for ensuring that these roles do not </w:t>
      </w:r>
      <w:r w:rsidR="001635B2">
        <w:t>overlap</w:t>
      </w:r>
      <w:r w:rsidRPr="0008458D">
        <w:t xml:space="preserve"> so that there is no ambiguity about who is accountable for the financial management and integrity of the trust. </w:t>
      </w:r>
    </w:p>
    <w:p w14:paraId="6879E915" w14:textId="7DAA828A" w:rsidR="003D0939" w:rsidRPr="003D0939" w:rsidRDefault="003D0939" w:rsidP="00400FAE">
      <w:pPr>
        <w:pStyle w:val="TSB-Level1Numbers"/>
        <w:spacing w:after="0" w:line="240" w:lineRule="auto"/>
      </w:pPr>
      <w:r w:rsidRPr="0008458D">
        <w:t>The accounting officer is personally responsible to Parliament</w:t>
      </w:r>
      <w:r w:rsidR="0034320E">
        <w:t>, the public</w:t>
      </w:r>
      <w:r w:rsidRPr="0008458D">
        <w:t xml:space="preserve"> and to the ESFA</w:t>
      </w:r>
      <w:r w:rsidRPr="003D0939">
        <w:t xml:space="preserve"> for the financial resources under the trust’s control. </w:t>
      </w:r>
      <w:r w:rsidR="00D30113">
        <w:t>This does not remove the responsibility of the trustees for the proper conduct and financial operation of the trust.</w:t>
      </w:r>
    </w:p>
    <w:p w14:paraId="27EFC823" w14:textId="1886A706" w:rsidR="003D0939" w:rsidRPr="003D0939" w:rsidRDefault="003D0939" w:rsidP="00400FAE">
      <w:pPr>
        <w:pStyle w:val="TSB-Level1Numbers"/>
        <w:spacing w:after="0" w:line="240" w:lineRule="auto"/>
      </w:pPr>
      <w:r w:rsidRPr="003D0939">
        <w:t xml:space="preserve">The accounting officer is personally responsible for assuring the </w:t>
      </w:r>
      <w:r w:rsidR="009A5CB6">
        <w:t>board of trustees</w:t>
      </w:r>
      <w:r w:rsidRPr="003D0939">
        <w:t xml:space="preserve"> that the trust is compliant with the </w:t>
      </w:r>
      <w:r w:rsidR="00835F21">
        <w:t>AFH</w:t>
      </w:r>
      <w:r w:rsidRPr="003D0939">
        <w:t xml:space="preserve"> and the funding agreement. </w:t>
      </w:r>
    </w:p>
    <w:p w14:paraId="34DDA3B5" w14:textId="2A6057FF" w:rsidR="003D0939" w:rsidRPr="003D0939" w:rsidRDefault="003D0939" w:rsidP="00400FAE">
      <w:pPr>
        <w:pStyle w:val="TSB-Level1Numbers"/>
        <w:spacing w:after="0" w:line="240" w:lineRule="auto"/>
      </w:pPr>
      <w:r w:rsidRPr="003D0939">
        <w:t xml:space="preserve">The accounting officer is required to advise the </w:t>
      </w:r>
      <w:r w:rsidR="00431F31">
        <w:t>board of trustees</w:t>
      </w:r>
      <w:r w:rsidRPr="003D0939">
        <w:t xml:space="preserve"> in writing if, at any time, in </w:t>
      </w:r>
      <w:r w:rsidR="001635B2">
        <w:t>their</w:t>
      </w:r>
      <w:r w:rsidRPr="003D0939">
        <w:t xml:space="preserve"> opinion, any action or policy under consideration by them is incompatible with the terms of the articles, funding agreement or </w:t>
      </w:r>
      <w:r w:rsidR="00835F21">
        <w:t>AFH</w:t>
      </w:r>
      <w:r w:rsidRPr="003D0939">
        <w:t>.</w:t>
      </w:r>
    </w:p>
    <w:p w14:paraId="35DE2B0D" w14:textId="3AAD18F6" w:rsidR="003D0939" w:rsidRPr="003D0939" w:rsidRDefault="003D0939" w:rsidP="00400FAE">
      <w:pPr>
        <w:pStyle w:val="TSB-Level1Numbers"/>
        <w:spacing w:after="0" w:line="240" w:lineRule="auto"/>
      </w:pPr>
      <w:r w:rsidRPr="003D0939">
        <w:t xml:space="preserve">The accounting officer will advise the board </w:t>
      </w:r>
      <w:r w:rsidR="00431F31">
        <w:t xml:space="preserve">of trustees </w:t>
      </w:r>
      <w:r w:rsidRPr="003D0939">
        <w:t xml:space="preserve">in writing if the board appears to be failing to act where required to do so by the terms and conditions of the </w:t>
      </w:r>
      <w:r w:rsidR="00835F21">
        <w:t>AFH</w:t>
      </w:r>
      <w:r w:rsidR="00B0796E">
        <w:t xml:space="preserve"> </w:t>
      </w:r>
      <w:r w:rsidRPr="003D0939">
        <w:t xml:space="preserve">or funding agreement. </w:t>
      </w:r>
    </w:p>
    <w:p w14:paraId="27265276" w14:textId="34ADF9EA" w:rsidR="003D0939" w:rsidRPr="003D0939" w:rsidRDefault="003D0939" w:rsidP="00400FAE">
      <w:pPr>
        <w:pStyle w:val="TSB-Level1Numbers"/>
        <w:spacing w:after="0" w:line="240" w:lineRule="auto"/>
      </w:pPr>
      <w:r w:rsidRPr="003D0939">
        <w:t xml:space="preserve">Where the </w:t>
      </w:r>
      <w:r w:rsidR="00B0796E">
        <w:t>board of trustees</w:t>
      </w:r>
      <w:r w:rsidRPr="003D0939">
        <w:t xml:space="preserve"> continues to act in ways not in accordance with the specified conditions, the accounting officer will consider the reasons the board gives for its decision. If the accounting officer still considers that the action proposed by the board is in breach of the articles, the funding agreement or the </w:t>
      </w:r>
      <w:r w:rsidR="00835F21">
        <w:t>AFH</w:t>
      </w:r>
      <w:r w:rsidRPr="003D0939">
        <w:t>, the accounting officer is responsible for notifying the ESFA’s accounting officer immediately and in writing.</w:t>
      </w:r>
    </w:p>
    <w:p w14:paraId="04365050" w14:textId="77777777" w:rsidR="003D0939" w:rsidRPr="003D0939" w:rsidRDefault="003D0939" w:rsidP="00400FAE">
      <w:pPr>
        <w:pStyle w:val="TSB-Level1Numbers"/>
        <w:spacing w:after="0" w:line="240" w:lineRule="auto"/>
      </w:pPr>
      <w:r w:rsidRPr="003D0939">
        <w:t xml:space="preserve">Each year, the accounting officer is required to complete and sign a statement on regularity, propriety and compliance, which is submitted to the ESFA along with the audited accounts. </w:t>
      </w:r>
    </w:p>
    <w:p w14:paraId="32B3BF91" w14:textId="3CEE2762" w:rsidR="003D0939" w:rsidRPr="003D0939" w:rsidRDefault="003D0939" w:rsidP="00400FAE">
      <w:pPr>
        <w:pStyle w:val="TSB-Level1Numbers"/>
        <w:spacing w:after="0" w:line="240" w:lineRule="auto"/>
      </w:pPr>
      <w:r w:rsidRPr="003D0939">
        <w:t xml:space="preserve">Each year, the accounting officer is required to share the annual ‘Dear Accounting Officer’ letter from the ESFA with the trust’s members, trustees, chief financial officer and other members of the </w:t>
      </w:r>
      <w:r w:rsidR="009808F4">
        <w:t>SLT</w:t>
      </w:r>
      <w:r w:rsidR="0008458D">
        <w:t>. They must also</w:t>
      </w:r>
      <w:r w:rsidRPr="003D0939">
        <w:t xml:space="preserve"> arrange for it to be discussed by the </w:t>
      </w:r>
      <w:r w:rsidR="009A5CB6">
        <w:t>board of trustees</w:t>
      </w:r>
      <w:r w:rsidRPr="003D0939">
        <w:t xml:space="preserve"> and </w:t>
      </w:r>
      <w:proofErr w:type="gramStart"/>
      <w:r w:rsidRPr="003D0939">
        <w:t>take action</w:t>
      </w:r>
      <w:proofErr w:type="gramEnd"/>
      <w:r w:rsidRPr="003D0939">
        <w:t xml:space="preserve"> where appropriate to strengthen the trust’s financial system and controls.</w:t>
      </w:r>
    </w:p>
    <w:p w14:paraId="34C8E17D" w14:textId="6F679646" w:rsidR="003D0939" w:rsidRDefault="003D0939" w:rsidP="00400FAE">
      <w:pPr>
        <w:pStyle w:val="TSB-Level1Numbers"/>
        <w:spacing w:after="0" w:line="240" w:lineRule="auto"/>
      </w:pPr>
      <w:r w:rsidRPr="003D0939">
        <w:t xml:space="preserve">It is the responsibility of the accounting officer to demonstrate how value for money has been achieved. </w:t>
      </w:r>
    </w:p>
    <w:p w14:paraId="73FCF004" w14:textId="77777777" w:rsidR="00400FAE" w:rsidRPr="003D0939" w:rsidRDefault="00400FAE" w:rsidP="00400FAE">
      <w:pPr>
        <w:pStyle w:val="TSB-Level1Numbers"/>
        <w:numPr>
          <w:ilvl w:val="0"/>
          <w:numId w:val="0"/>
        </w:numPr>
        <w:spacing w:after="0" w:line="240" w:lineRule="auto"/>
        <w:ind w:left="1480"/>
      </w:pPr>
    </w:p>
    <w:p w14:paraId="57DB56D9" w14:textId="42AB0936" w:rsidR="00530E26" w:rsidRDefault="00DF4370" w:rsidP="00400FAE">
      <w:pPr>
        <w:pStyle w:val="Heading10"/>
        <w:spacing w:after="0" w:line="240" w:lineRule="auto"/>
      </w:pPr>
      <w:bookmarkStart w:id="18" w:name="_Delegated_powers_of_3"/>
      <w:bookmarkEnd w:id="18"/>
      <w:r>
        <w:t xml:space="preserve">Delegated </w:t>
      </w:r>
      <w:r w:rsidR="008F3095">
        <w:t>powers</w:t>
      </w:r>
      <w:r>
        <w:t xml:space="preserve"> of the </w:t>
      </w:r>
      <w:r w:rsidR="009758BD">
        <w:t>Finance</w:t>
      </w:r>
      <w:r w:rsidR="000B209E">
        <w:t xml:space="preserve"> Committee</w:t>
      </w:r>
    </w:p>
    <w:p w14:paraId="4D05CB3C" w14:textId="77777777" w:rsidR="00B00E9C" w:rsidRPr="00B00E9C" w:rsidRDefault="00B00E9C" w:rsidP="00B00E9C"/>
    <w:p w14:paraId="107583BA" w14:textId="64A25ED3" w:rsidR="001635B2" w:rsidRPr="00400FAE" w:rsidRDefault="001635B2" w:rsidP="00400FAE">
      <w:pPr>
        <w:pStyle w:val="TSB-Level1Numbers"/>
        <w:spacing w:after="0" w:line="240" w:lineRule="auto"/>
        <w:rPr>
          <w:color w:val="000000" w:themeColor="text1"/>
        </w:rPr>
      </w:pPr>
      <w:bookmarkStart w:id="19" w:name="_Hlk21595981"/>
      <w:r>
        <w:t xml:space="preserve">The </w:t>
      </w:r>
      <w:r w:rsidR="009758BD">
        <w:rPr>
          <w:color w:val="000000" w:themeColor="text1"/>
        </w:rPr>
        <w:t>Finance</w:t>
      </w:r>
      <w:r w:rsidR="000B209E" w:rsidRPr="00400FAE">
        <w:rPr>
          <w:color w:val="000000" w:themeColor="text1"/>
        </w:rPr>
        <w:t xml:space="preserve"> Committee</w:t>
      </w:r>
      <w:r w:rsidRPr="00400FAE">
        <w:rPr>
          <w:color w:val="000000" w:themeColor="text1"/>
        </w:rPr>
        <w:t xml:space="preserve"> will always comply with the trust’s trustee code of conduct. </w:t>
      </w:r>
    </w:p>
    <w:p w14:paraId="074B3DAE" w14:textId="1E571BA1" w:rsidR="001635B2" w:rsidRPr="00400FAE" w:rsidRDefault="001635B2" w:rsidP="00400FAE">
      <w:pPr>
        <w:pStyle w:val="TSB-Level1Numbers"/>
        <w:spacing w:after="0" w:line="240" w:lineRule="auto"/>
        <w:rPr>
          <w:color w:val="000000" w:themeColor="text1"/>
        </w:rPr>
      </w:pPr>
      <w:r w:rsidRPr="00400FAE">
        <w:rPr>
          <w:color w:val="000000" w:themeColor="text1"/>
        </w:rPr>
        <w:t xml:space="preserve">The </w:t>
      </w:r>
      <w:r w:rsidR="009758BD">
        <w:rPr>
          <w:color w:val="000000" w:themeColor="text1"/>
        </w:rPr>
        <w:t>Finance</w:t>
      </w:r>
      <w:r w:rsidR="000B209E" w:rsidRPr="00400FAE">
        <w:rPr>
          <w:color w:val="000000" w:themeColor="text1"/>
        </w:rPr>
        <w:t xml:space="preserve"> Committee</w:t>
      </w:r>
      <w:r w:rsidRPr="00400FAE">
        <w:rPr>
          <w:color w:val="000000" w:themeColor="text1"/>
        </w:rPr>
        <w:t xml:space="preserve"> will take responsibility for appointing a professional clerk to advise and guide the committee of their duties and responsibilities, and to record minutes of all committee meetings.</w:t>
      </w:r>
    </w:p>
    <w:p w14:paraId="6C89FE25" w14:textId="38E684FC" w:rsidR="001635B2" w:rsidRPr="00400FAE" w:rsidRDefault="001635B2" w:rsidP="00400FAE">
      <w:pPr>
        <w:pStyle w:val="TSB-Level1Numbers"/>
        <w:spacing w:after="0" w:line="240" w:lineRule="auto"/>
        <w:rPr>
          <w:color w:val="000000" w:themeColor="text1"/>
        </w:rPr>
      </w:pPr>
      <w:r w:rsidRPr="00400FAE">
        <w:rPr>
          <w:color w:val="000000" w:themeColor="text1"/>
        </w:rPr>
        <w:t xml:space="preserve">The </w:t>
      </w:r>
      <w:r w:rsidR="009758BD">
        <w:rPr>
          <w:color w:val="000000" w:themeColor="text1"/>
        </w:rPr>
        <w:t>Finance</w:t>
      </w:r>
      <w:r w:rsidR="000B209E" w:rsidRPr="00400FAE">
        <w:rPr>
          <w:color w:val="000000" w:themeColor="text1"/>
        </w:rPr>
        <w:t xml:space="preserve"> Committee</w:t>
      </w:r>
      <w:r w:rsidRPr="00400FAE">
        <w:rPr>
          <w:color w:val="000000" w:themeColor="text1"/>
        </w:rPr>
        <w:t xml:space="preserve"> will be responsible for undertaking and attending relevant training when appropriate. </w:t>
      </w:r>
    </w:p>
    <w:p w14:paraId="1B1A370B" w14:textId="56D424EE" w:rsidR="001635B2" w:rsidRPr="00400FAE" w:rsidRDefault="001635B2" w:rsidP="00400FAE">
      <w:pPr>
        <w:pStyle w:val="TSB-Level1Numbers"/>
        <w:spacing w:after="0" w:line="240" w:lineRule="auto"/>
        <w:rPr>
          <w:color w:val="000000" w:themeColor="text1"/>
        </w:rPr>
      </w:pPr>
      <w:r w:rsidRPr="00400FAE">
        <w:rPr>
          <w:color w:val="000000" w:themeColor="text1"/>
        </w:rPr>
        <w:t xml:space="preserve">The </w:t>
      </w:r>
      <w:r w:rsidR="009758BD">
        <w:rPr>
          <w:color w:val="000000" w:themeColor="text1"/>
        </w:rPr>
        <w:t>Finance</w:t>
      </w:r>
      <w:r w:rsidR="000B209E" w:rsidRPr="00400FAE">
        <w:rPr>
          <w:color w:val="000000" w:themeColor="text1"/>
        </w:rPr>
        <w:t xml:space="preserve"> Committee</w:t>
      </w:r>
      <w:r w:rsidRPr="00400FAE">
        <w:rPr>
          <w:color w:val="000000" w:themeColor="text1"/>
        </w:rPr>
        <w:t xml:space="preserve"> will take responsibility for reporting to the board of trustees on the proceedings, recommendations and decisions of the committee.</w:t>
      </w:r>
    </w:p>
    <w:p w14:paraId="3E09F0BA" w14:textId="5976F0FC" w:rsidR="003D0939" w:rsidRPr="00400FAE" w:rsidRDefault="003D0939" w:rsidP="00400FAE">
      <w:pPr>
        <w:pStyle w:val="TSB-Level1Numbers"/>
        <w:spacing w:after="0" w:line="240" w:lineRule="auto"/>
        <w:rPr>
          <w:color w:val="000000" w:themeColor="text1"/>
        </w:rPr>
      </w:pPr>
      <w:r w:rsidRPr="00400FAE">
        <w:rPr>
          <w:color w:val="000000" w:themeColor="text1"/>
        </w:rPr>
        <w:t xml:space="preserve">The </w:t>
      </w:r>
      <w:r w:rsidR="009758BD">
        <w:rPr>
          <w:color w:val="000000" w:themeColor="text1"/>
        </w:rPr>
        <w:t>Finance</w:t>
      </w:r>
      <w:r w:rsidR="000B209E" w:rsidRPr="00400FAE">
        <w:rPr>
          <w:color w:val="000000" w:themeColor="text1"/>
        </w:rPr>
        <w:t xml:space="preserve"> Committee</w:t>
      </w:r>
      <w:r w:rsidRPr="00400FAE">
        <w:rPr>
          <w:color w:val="000000" w:themeColor="text1"/>
        </w:rPr>
        <w:t xml:space="preserve"> exercises the powers and duties delegated to </w:t>
      </w:r>
      <w:r w:rsidR="009A5CB6" w:rsidRPr="00400FAE">
        <w:rPr>
          <w:color w:val="000000" w:themeColor="text1"/>
        </w:rPr>
        <w:t xml:space="preserve">it by </w:t>
      </w:r>
      <w:r w:rsidRPr="00400FAE">
        <w:rPr>
          <w:color w:val="000000" w:themeColor="text1"/>
        </w:rPr>
        <w:t xml:space="preserve">the </w:t>
      </w:r>
      <w:r w:rsidR="009A5CB6" w:rsidRPr="00400FAE">
        <w:rPr>
          <w:color w:val="000000" w:themeColor="text1"/>
        </w:rPr>
        <w:t>board of trustees</w:t>
      </w:r>
      <w:r w:rsidRPr="00400FAE">
        <w:rPr>
          <w:color w:val="000000" w:themeColor="text1"/>
        </w:rPr>
        <w:t xml:space="preserve"> in relation to the financial administration of the </w:t>
      </w:r>
      <w:r w:rsidR="00B0796E" w:rsidRPr="00400FAE">
        <w:rPr>
          <w:color w:val="000000" w:themeColor="text1"/>
        </w:rPr>
        <w:t>trust</w:t>
      </w:r>
      <w:r w:rsidRPr="00400FAE">
        <w:rPr>
          <w:color w:val="000000" w:themeColor="text1"/>
        </w:rPr>
        <w:t xml:space="preserve">. </w:t>
      </w:r>
    </w:p>
    <w:p w14:paraId="1E64D3AF" w14:textId="1E845373" w:rsidR="003D0939" w:rsidRPr="003D0939" w:rsidRDefault="003D0939" w:rsidP="00400FAE">
      <w:pPr>
        <w:pStyle w:val="TSB-Level1Numbers"/>
        <w:spacing w:after="0" w:line="240" w:lineRule="auto"/>
      </w:pPr>
      <w:r w:rsidRPr="00400FAE">
        <w:rPr>
          <w:color w:val="000000" w:themeColor="text1"/>
        </w:rPr>
        <w:t xml:space="preserve">The </w:t>
      </w:r>
      <w:r w:rsidR="009758BD">
        <w:rPr>
          <w:color w:val="000000" w:themeColor="text1"/>
        </w:rPr>
        <w:t>Finance</w:t>
      </w:r>
      <w:r w:rsidR="000B209E" w:rsidRPr="00400FAE">
        <w:rPr>
          <w:color w:val="000000" w:themeColor="text1"/>
        </w:rPr>
        <w:t xml:space="preserve"> Committee</w:t>
      </w:r>
      <w:r w:rsidRPr="00400FAE">
        <w:rPr>
          <w:b/>
          <w:color w:val="000000" w:themeColor="text1"/>
        </w:rPr>
        <w:t xml:space="preserve"> </w:t>
      </w:r>
      <w:r w:rsidRPr="003D0939">
        <w:t xml:space="preserve">will meet as regularly as necessary, but at least once a term. </w:t>
      </w:r>
    </w:p>
    <w:p w14:paraId="1D199853" w14:textId="17642738" w:rsidR="003D0939" w:rsidRPr="003D0939" w:rsidRDefault="003D0939" w:rsidP="00400FAE">
      <w:pPr>
        <w:pStyle w:val="TSB-Level1Numbers"/>
        <w:spacing w:after="0" w:line="240" w:lineRule="auto"/>
      </w:pPr>
      <w:r w:rsidRPr="003D0939">
        <w:t xml:space="preserve">Information regarding the financial performance of the trust will be reviewed by the committee at least three times a year, taking </w:t>
      </w:r>
      <w:r w:rsidR="009808F4">
        <w:t xml:space="preserve">all </w:t>
      </w:r>
      <w:r w:rsidRPr="003D0939">
        <w:t>necessary action to ensure ongoing viability</w:t>
      </w:r>
      <w:r w:rsidR="001635B2">
        <w:t xml:space="preserve"> and sustainability</w:t>
      </w:r>
      <w:r w:rsidRPr="003D0939">
        <w:t xml:space="preserve">. </w:t>
      </w:r>
    </w:p>
    <w:p w14:paraId="79F56105" w14:textId="74B69095" w:rsidR="003D0939" w:rsidRPr="003D0939" w:rsidRDefault="003D0939" w:rsidP="00400FAE">
      <w:pPr>
        <w:pStyle w:val="TSB-Level1Numbers"/>
        <w:spacing w:after="0" w:line="240" w:lineRule="auto"/>
      </w:pPr>
      <w:r w:rsidRPr="003D0939">
        <w:t xml:space="preserve">The committee is responsible for reviewing the </w:t>
      </w:r>
      <w:r w:rsidR="009A5CB6">
        <w:t>trust’</w:t>
      </w:r>
      <w:r w:rsidRPr="003D0939">
        <w:t>s financial statements</w:t>
      </w:r>
      <w:r w:rsidR="0008458D">
        <w:t xml:space="preserve"> and</w:t>
      </w:r>
      <w:r w:rsidRPr="003D0939">
        <w:t xml:space="preserve"> highlighting any significant issues to the </w:t>
      </w:r>
      <w:r w:rsidR="00B0796E">
        <w:t>board of trustees</w:t>
      </w:r>
      <w:r w:rsidRPr="003D0939">
        <w:t>, prior to submission to the Secretary of State.</w:t>
      </w:r>
    </w:p>
    <w:p w14:paraId="5597F7D9" w14:textId="7ACA8B36" w:rsidR="003D0939" w:rsidRPr="00400FAE" w:rsidRDefault="003D0939" w:rsidP="00400FAE">
      <w:pPr>
        <w:pStyle w:val="TSB-Level1Numbers"/>
        <w:spacing w:after="0" w:line="240" w:lineRule="auto"/>
        <w:rPr>
          <w:bCs/>
          <w:color w:val="000000" w:themeColor="text1"/>
        </w:rPr>
      </w:pPr>
      <w:r w:rsidRPr="003D0939">
        <w:t xml:space="preserve">At each meeting of the </w:t>
      </w:r>
      <w:r w:rsidR="00B0796E">
        <w:t>board of trustees</w:t>
      </w:r>
      <w:r w:rsidRPr="003D0939">
        <w:t xml:space="preserve">, the </w:t>
      </w:r>
      <w:r w:rsidR="009758BD">
        <w:rPr>
          <w:bCs/>
          <w:color w:val="000000" w:themeColor="text1"/>
        </w:rPr>
        <w:t>Finance</w:t>
      </w:r>
      <w:r w:rsidR="000B209E" w:rsidRPr="00400FAE">
        <w:rPr>
          <w:bCs/>
          <w:color w:val="000000" w:themeColor="text1"/>
        </w:rPr>
        <w:t xml:space="preserve"> Committee</w:t>
      </w:r>
      <w:r w:rsidRPr="00400FAE">
        <w:rPr>
          <w:bCs/>
          <w:color w:val="000000" w:themeColor="text1"/>
        </w:rPr>
        <w:t xml:space="preserve"> will report on decisions taken under their delegated power</w:t>
      </w:r>
      <w:r w:rsidR="00511A5A" w:rsidRPr="00400FAE">
        <w:rPr>
          <w:bCs/>
          <w:color w:val="000000" w:themeColor="text1"/>
        </w:rPr>
        <w:t>s</w:t>
      </w:r>
      <w:r w:rsidRPr="00400FAE">
        <w:rPr>
          <w:bCs/>
          <w:color w:val="000000" w:themeColor="text1"/>
        </w:rPr>
        <w:t xml:space="preserve">. </w:t>
      </w:r>
    </w:p>
    <w:p w14:paraId="420C2390" w14:textId="3B727631" w:rsidR="003D0939" w:rsidRPr="00400FAE" w:rsidRDefault="003D0939" w:rsidP="00400FAE">
      <w:pPr>
        <w:pStyle w:val="TSB-Level1Numbers"/>
        <w:spacing w:after="0" w:line="240" w:lineRule="auto"/>
        <w:rPr>
          <w:bCs/>
          <w:color w:val="000000" w:themeColor="text1"/>
        </w:rPr>
      </w:pPr>
      <w:r w:rsidRPr="00400FAE">
        <w:rPr>
          <w:bCs/>
          <w:color w:val="000000" w:themeColor="text1"/>
        </w:rPr>
        <w:t xml:space="preserve">The </w:t>
      </w:r>
      <w:r w:rsidR="009758BD">
        <w:rPr>
          <w:bCs/>
          <w:color w:val="000000" w:themeColor="text1"/>
        </w:rPr>
        <w:t>Finance</w:t>
      </w:r>
      <w:r w:rsidR="000B209E" w:rsidRPr="00400FAE">
        <w:rPr>
          <w:bCs/>
          <w:color w:val="000000" w:themeColor="text1"/>
        </w:rPr>
        <w:t xml:space="preserve"> Committee</w:t>
      </w:r>
      <w:r w:rsidRPr="00400FAE">
        <w:rPr>
          <w:bCs/>
          <w:color w:val="000000" w:themeColor="text1"/>
        </w:rPr>
        <w:t xml:space="preserve"> is responsible for reviewing the reports of the </w:t>
      </w:r>
      <w:r w:rsidR="00711625">
        <w:rPr>
          <w:bCs/>
          <w:color w:val="000000" w:themeColor="text1"/>
        </w:rPr>
        <w:t>Business Manager/Chief Financial Officer</w:t>
      </w:r>
      <w:r w:rsidRPr="00400FAE">
        <w:rPr>
          <w:bCs/>
          <w:color w:val="000000" w:themeColor="text1"/>
        </w:rPr>
        <w:t xml:space="preserve"> regarding the effectiveness of the </w:t>
      </w:r>
      <w:r w:rsidR="00B0796E" w:rsidRPr="00400FAE">
        <w:rPr>
          <w:bCs/>
          <w:color w:val="000000" w:themeColor="text1"/>
        </w:rPr>
        <w:t>trust</w:t>
      </w:r>
      <w:r w:rsidRPr="00400FAE">
        <w:rPr>
          <w:bCs/>
          <w:color w:val="000000" w:themeColor="text1"/>
        </w:rPr>
        <w:t xml:space="preserve">’s financial procedures and controls, reporting any findings to the </w:t>
      </w:r>
      <w:r w:rsidR="00B0796E" w:rsidRPr="00400FAE">
        <w:rPr>
          <w:bCs/>
          <w:color w:val="000000" w:themeColor="text1"/>
        </w:rPr>
        <w:t>board of trustees</w:t>
      </w:r>
      <w:r w:rsidRPr="00400FAE">
        <w:rPr>
          <w:bCs/>
          <w:color w:val="000000" w:themeColor="text1"/>
        </w:rPr>
        <w:t xml:space="preserve">. </w:t>
      </w:r>
    </w:p>
    <w:p w14:paraId="66BD1C15" w14:textId="24FAE393" w:rsidR="003D0939" w:rsidRPr="003D0939" w:rsidRDefault="003D0939" w:rsidP="00400FAE">
      <w:pPr>
        <w:pStyle w:val="TSB-Level1Numbers"/>
        <w:spacing w:after="0" w:line="240" w:lineRule="auto"/>
      </w:pPr>
      <w:r w:rsidRPr="00400FAE">
        <w:rPr>
          <w:bCs/>
          <w:color w:val="000000" w:themeColor="text1"/>
        </w:rPr>
        <w:t xml:space="preserve">The annual budget will initially be reviewed by the </w:t>
      </w:r>
      <w:r w:rsidR="009758BD">
        <w:rPr>
          <w:bCs/>
          <w:color w:val="000000" w:themeColor="text1"/>
        </w:rPr>
        <w:t>Finance</w:t>
      </w:r>
      <w:r w:rsidR="000B209E" w:rsidRPr="00400FAE">
        <w:rPr>
          <w:bCs/>
          <w:color w:val="000000" w:themeColor="text1"/>
        </w:rPr>
        <w:t xml:space="preserve"> Committee</w:t>
      </w:r>
      <w:r w:rsidRPr="00400FAE">
        <w:rPr>
          <w:color w:val="000000" w:themeColor="text1"/>
        </w:rPr>
        <w:t xml:space="preserve"> </w:t>
      </w:r>
      <w:r w:rsidRPr="003D0939">
        <w:t xml:space="preserve">prior to the start of the financial year and its acceptance, or otherwise, will be given to the </w:t>
      </w:r>
      <w:r w:rsidR="00B0796E">
        <w:t>board of trustees</w:t>
      </w:r>
      <w:r w:rsidRPr="003D0939">
        <w:t xml:space="preserve">. </w:t>
      </w:r>
    </w:p>
    <w:p w14:paraId="7FEB4A7C" w14:textId="2C2C1848" w:rsidR="003D0939" w:rsidRPr="003D0939" w:rsidRDefault="003D0939" w:rsidP="00400FAE">
      <w:pPr>
        <w:pStyle w:val="TSB-Level1Numbers"/>
        <w:spacing w:after="0" w:line="240" w:lineRule="auto"/>
      </w:pPr>
      <w:r w:rsidRPr="003D0939">
        <w:t xml:space="preserve">The committee will report all significant financial matters and any potential overspending to the </w:t>
      </w:r>
      <w:r w:rsidR="00B0796E">
        <w:t>board of trustees</w:t>
      </w:r>
      <w:r w:rsidRPr="003D0939">
        <w:t xml:space="preserve">. </w:t>
      </w:r>
    </w:p>
    <w:p w14:paraId="009576BB" w14:textId="1D569D8E" w:rsidR="003D0939" w:rsidRPr="003D0939" w:rsidRDefault="003D0939" w:rsidP="00400FAE">
      <w:pPr>
        <w:pStyle w:val="TSB-Level1Numbers"/>
        <w:spacing w:after="0" w:line="240" w:lineRule="auto"/>
      </w:pPr>
      <w:r w:rsidRPr="003D0939">
        <w:t xml:space="preserve">The </w:t>
      </w:r>
      <w:r w:rsidR="009A5CB6">
        <w:t>trust</w:t>
      </w:r>
      <w:r w:rsidRPr="003D0939">
        <w:t xml:space="preserve">’s capital plan will be reviewed on an </w:t>
      </w:r>
      <w:r w:rsidRPr="00400FAE">
        <w:rPr>
          <w:color w:val="000000" w:themeColor="text1"/>
        </w:rPr>
        <w:t xml:space="preserve">annual </w:t>
      </w:r>
      <w:r w:rsidRPr="003D0939">
        <w:t xml:space="preserve">basis. </w:t>
      </w:r>
    </w:p>
    <w:p w14:paraId="00F884D5" w14:textId="4395B5E0" w:rsidR="003D0939" w:rsidRPr="00400FAE" w:rsidRDefault="003D0939" w:rsidP="00400FAE">
      <w:pPr>
        <w:pStyle w:val="TSB-Level1Numbers"/>
        <w:spacing w:after="0" w:line="240" w:lineRule="auto"/>
        <w:rPr>
          <w:bCs/>
          <w:color w:val="000000" w:themeColor="text1"/>
        </w:rPr>
      </w:pPr>
      <w:r w:rsidRPr="003D0939">
        <w:t xml:space="preserve">The </w:t>
      </w:r>
      <w:r w:rsidR="009758BD">
        <w:rPr>
          <w:bCs/>
          <w:color w:val="000000" w:themeColor="text1"/>
        </w:rPr>
        <w:t>Finance</w:t>
      </w:r>
      <w:r w:rsidR="000B209E" w:rsidRPr="00400FAE">
        <w:rPr>
          <w:bCs/>
          <w:color w:val="000000" w:themeColor="text1"/>
        </w:rPr>
        <w:t xml:space="preserve"> Committee</w:t>
      </w:r>
      <w:r w:rsidRPr="00400FAE">
        <w:rPr>
          <w:bCs/>
          <w:color w:val="000000" w:themeColor="text1"/>
        </w:rPr>
        <w:t xml:space="preserve"> is responsible for ensuring that appropriate insurance arrangements are in place for the </w:t>
      </w:r>
      <w:r w:rsidR="00B0796E" w:rsidRPr="00400FAE">
        <w:rPr>
          <w:bCs/>
          <w:color w:val="000000" w:themeColor="text1"/>
        </w:rPr>
        <w:t>trust</w:t>
      </w:r>
      <w:r w:rsidRPr="00400FAE">
        <w:rPr>
          <w:bCs/>
          <w:color w:val="000000" w:themeColor="text1"/>
        </w:rPr>
        <w:t xml:space="preserve">. </w:t>
      </w:r>
    </w:p>
    <w:p w14:paraId="7C3CB517" w14:textId="0336522E" w:rsidR="00E949C7" w:rsidRPr="00400FAE" w:rsidRDefault="001345D5" w:rsidP="00400FAE">
      <w:pPr>
        <w:pStyle w:val="TSB-Level1Numbers"/>
        <w:spacing w:after="0" w:line="240" w:lineRule="auto"/>
        <w:rPr>
          <w:color w:val="000000" w:themeColor="text1"/>
        </w:rPr>
      </w:pPr>
      <w:bookmarkStart w:id="20" w:name="_Hlk24031372"/>
      <w:bookmarkEnd w:id="15"/>
      <w:r w:rsidRPr="00400FAE">
        <w:rPr>
          <w:bCs/>
          <w:color w:val="000000" w:themeColor="text1"/>
        </w:rPr>
        <w:t>The</w:t>
      </w:r>
      <w:r w:rsidRPr="00400FAE">
        <w:rPr>
          <w:color w:val="000000" w:themeColor="text1"/>
        </w:rPr>
        <w:t xml:space="preserve"> </w:t>
      </w:r>
      <w:r>
        <w:t>purchase of goods and services</w:t>
      </w:r>
      <w:r w:rsidR="00A4299D">
        <w:t>,</w:t>
      </w:r>
      <w:r w:rsidR="008F3095" w:rsidRPr="008F3095">
        <w:t xml:space="preserve"> </w:t>
      </w:r>
      <w:r w:rsidR="00B407BC">
        <w:t>in line</w:t>
      </w:r>
      <w:r w:rsidR="008F3095" w:rsidRPr="008F3095">
        <w:t xml:space="preserve"> </w:t>
      </w:r>
      <w:r w:rsidR="00C3793E">
        <w:t xml:space="preserve">with </w:t>
      </w:r>
      <w:r w:rsidR="008F3095" w:rsidRPr="008F3095">
        <w:t xml:space="preserve">the agreed </w:t>
      </w:r>
      <w:r w:rsidR="00B407BC">
        <w:t>authorisation level</w:t>
      </w:r>
      <w:r w:rsidR="00FC0C89">
        <w:t xml:space="preserve">s outlined in </w:t>
      </w:r>
      <w:hyperlink w:anchor="AppendixTitle1" w:history="1">
        <w:r w:rsidR="00FC0C89" w:rsidRPr="00310C08">
          <w:rPr>
            <w:rStyle w:val="Hyperlink"/>
          </w:rPr>
          <w:t>Appendix A</w:t>
        </w:r>
      </w:hyperlink>
      <w:r w:rsidR="00A4299D">
        <w:t>,</w:t>
      </w:r>
      <w:r w:rsidR="00B407BC">
        <w:t xml:space="preserve"> will be</w:t>
      </w:r>
      <w:r w:rsidR="008F3095" w:rsidRPr="008F3095">
        <w:t xml:space="preserve"> authoris</w:t>
      </w:r>
      <w:r w:rsidR="00B407BC">
        <w:t>ed by</w:t>
      </w:r>
      <w:r w:rsidR="008F3095" w:rsidRPr="008F3095">
        <w:t xml:space="preserve"> </w:t>
      </w:r>
      <w:r w:rsidR="008F3095" w:rsidRPr="00400FAE">
        <w:rPr>
          <w:color w:val="000000" w:themeColor="text1"/>
        </w:rPr>
        <w:t xml:space="preserve">the </w:t>
      </w:r>
      <w:r w:rsidR="009758BD">
        <w:rPr>
          <w:color w:val="000000" w:themeColor="text1"/>
        </w:rPr>
        <w:t>Finance</w:t>
      </w:r>
      <w:r w:rsidR="000B209E" w:rsidRPr="00400FAE">
        <w:rPr>
          <w:color w:val="000000" w:themeColor="text1"/>
        </w:rPr>
        <w:t xml:space="preserve"> Committee</w:t>
      </w:r>
      <w:r w:rsidR="008F3095" w:rsidRPr="00400FAE">
        <w:rPr>
          <w:color w:val="000000" w:themeColor="text1"/>
        </w:rPr>
        <w:t xml:space="preserve"> and</w:t>
      </w:r>
      <w:r w:rsidR="00137FD8" w:rsidRPr="00400FAE">
        <w:rPr>
          <w:color w:val="000000" w:themeColor="text1"/>
        </w:rPr>
        <w:t xml:space="preserve"> reported to</w:t>
      </w:r>
      <w:r w:rsidRPr="00400FAE">
        <w:rPr>
          <w:color w:val="000000" w:themeColor="text1"/>
        </w:rPr>
        <w:t xml:space="preserve"> the trust board</w:t>
      </w:r>
      <w:r w:rsidR="008F3095" w:rsidRPr="00400FAE">
        <w:rPr>
          <w:color w:val="000000" w:themeColor="text1"/>
        </w:rPr>
        <w:t>.</w:t>
      </w:r>
    </w:p>
    <w:bookmarkEnd w:id="20"/>
    <w:p w14:paraId="31CBEF0C" w14:textId="26F2C8A0" w:rsidR="008F3095" w:rsidRPr="00400FAE" w:rsidRDefault="00B407BC" w:rsidP="00400FAE">
      <w:pPr>
        <w:pStyle w:val="TSB-Level1Numbers"/>
        <w:spacing w:after="0" w:line="240" w:lineRule="auto"/>
        <w:rPr>
          <w:color w:val="000000" w:themeColor="text1"/>
        </w:rPr>
      </w:pPr>
      <w:r w:rsidRPr="00400FAE">
        <w:rPr>
          <w:rFonts w:ascii="Arial" w:hAnsi="Arial" w:cs="Arial"/>
          <w:color w:val="000000" w:themeColor="text1"/>
        </w:rPr>
        <w:t>Expenditure</w:t>
      </w:r>
      <w:r w:rsidR="001345D5" w:rsidRPr="00400FAE">
        <w:rPr>
          <w:rFonts w:ascii="Arial" w:hAnsi="Arial" w:cs="Arial"/>
          <w:color w:val="000000" w:themeColor="text1"/>
        </w:rPr>
        <w:t xml:space="preserve"> on goods and services</w:t>
      </w:r>
      <w:r w:rsidRPr="00400FAE">
        <w:rPr>
          <w:rFonts w:ascii="Arial" w:hAnsi="Arial" w:cs="Arial"/>
          <w:color w:val="000000" w:themeColor="text1"/>
        </w:rPr>
        <w:t xml:space="preserve"> between £</w:t>
      </w:r>
      <w:r w:rsidR="00BE492C">
        <w:rPr>
          <w:rFonts w:ascii="Arial" w:hAnsi="Arial" w:cs="Arial"/>
          <w:color w:val="000000" w:themeColor="text1"/>
        </w:rPr>
        <w:t>4</w:t>
      </w:r>
      <w:r w:rsidRPr="00400FAE">
        <w:rPr>
          <w:rFonts w:ascii="Arial" w:hAnsi="Arial" w:cs="Arial"/>
          <w:color w:val="000000" w:themeColor="text1"/>
        </w:rPr>
        <w:t>0,00</w:t>
      </w:r>
      <w:r w:rsidR="001345D5" w:rsidRPr="00400FAE">
        <w:rPr>
          <w:rFonts w:ascii="Arial" w:hAnsi="Arial" w:cs="Arial"/>
          <w:color w:val="000000" w:themeColor="text1"/>
        </w:rPr>
        <w:t>1</w:t>
      </w:r>
      <w:r w:rsidRPr="00400FAE">
        <w:rPr>
          <w:rFonts w:ascii="Arial" w:hAnsi="Arial" w:cs="Arial"/>
          <w:color w:val="000000" w:themeColor="text1"/>
        </w:rPr>
        <w:t xml:space="preserve"> and £100,000 in value wi</w:t>
      </w:r>
      <w:r w:rsidR="001345D5" w:rsidRPr="00400FAE">
        <w:rPr>
          <w:rFonts w:ascii="Arial" w:hAnsi="Arial" w:cs="Arial"/>
          <w:color w:val="000000" w:themeColor="text1"/>
        </w:rPr>
        <w:t>ll</w:t>
      </w:r>
      <w:r w:rsidRPr="00400FAE">
        <w:rPr>
          <w:rFonts w:ascii="Arial" w:hAnsi="Arial" w:cs="Arial"/>
          <w:color w:val="000000" w:themeColor="text1"/>
        </w:rPr>
        <w:t xml:space="preserve"> be authorised by the </w:t>
      </w:r>
      <w:r w:rsidR="009758BD">
        <w:rPr>
          <w:rFonts w:ascii="Arial" w:hAnsi="Arial" w:cs="Arial"/>
          <w:color w:val="000000" w:themeColor="text1"/>
        </w:rPr>
        <w:t>Finance</w:t>
      </w:r>
      <w:r w:rsidR="000B209E" w:rsidRPr="00400FAE">
        <w:rPr>
          <w:rFonts w:ascii="Arial" w:hAnsi="Arial" w:cs="Arial"/>
          <w:color w:val="000000" w:themeColor="text1"/>
        </w:rPr>
        <w:t xml:space="preserve"> Committee</w:t>
      </w:r>
      <w:r w:rsidRPr="00400FAE">
        <w:rPr>
          <w:rFonts w:ascii="Arial" w:hAnsi="Arial" w:cs="Arial"/>
          <w:color w:val="000000" w:themeColor="text1"/>
        </w:rPr>
        <w:t>.</w:t>
      </w:r>
    </w:p>
    <w:p w14:paraId="45847759" w14:textId="74463CC9" w:rsidR="001345D5" w:rsidRPr="008F3095" w:rsidRDefault="001345D5" w:rsidP="00400FAE">
      <w:pPr>
        <w:pStyle w:val="TSB-Level1Numbers"/>
        <w:spacing w:after="0" w:line="240" w:lineRule="auto"/>
      </w:pPr>
      <w:r w:rsidRPr="00400FAE">
        <w:rPr>
          <w:rFonts w:ascii="Arial" w:hAnsi="Arial" w:cs="Arial"/>
          <w:color w:val="000000" w:themeColor="text1"/>
        </w:rPr>
        <w:t xml:space="preserve">The </w:t>
      </w:r>
      <w:r w:rsidR="009758BD">
        <w:rPr>
          <w:rFonts w:ascii="Arial" w:hAnsi="Arial" w:cs="Arial"/>
          <w:color w:val="000000" w:themeColor="text1"/>
        </w:rPr>
        <w:t>Finance</w:t>
      </w:r>
      <w:r w:rsidR="000B209E" w:rsidRPr="00400FAE">
        <w:rPr>
          <w:rFonts w:ascii="Arial" w:hAnsi="Arial" w:cs="Arial"/>
          <w:color w:val="000000" w:themeColor="text1"/>
        </w:rPr>
        <w:t xml:space="preserve"> Committee</w:t>
      </w:r>
      <w:r w:rsidRPr="00400FAE">
        <w:rPr>
          <w:rFonts w:ascii="Arial" w:hAnsi="Arial" w:cs="Arial"/>
          <w:color w:val="000000" w:themeColor="text1"/>
        </w:rPr>
        <w:t xml:space="preserve"> will direct the authorisation for g</w:t>
      </w:r>
      <w:r w:rsidRPr="00400FAE">
        <w:rPr>
          <w:rFonts w:ascii="Arial" w:hAnsi="Arial" w:cs="Arial"/>
        </w:rPr>
        <w:t>oods</w:t>
      </w:r>
      <w:r>
        <w:rPr>
          <w:rFonts w:ascii="Arial" w:hAnsi="Arial" w:cs="Arial"/>
        </w:rPr>
        <w:t xml:space="preserve"> and services</w:t>
      </w:r>
      <w:r w:rsidR="00FC0C89">
        <w:rPr>
          <w:rFonts w:ascii="Arial" w:hAnsi="Arial" w:cs="Arial"/>
        </w:rPr>
        <w:t xml:space="preserve">, </w:t>
      </w:r>
      <w:r w:rsidR="00FC0C89">
        <w:t xml:space="preserve">as necessary, in line with </w:t>
      </w:r>
      <w:hyperlink w:anchor="AppendixTitle1" w:history="1">
        <w:r w:rsidR="00FC0C89" w:rsidRPr="00310C08">
          <w:rPr>
            <w:rStyle w:val="Hyperlink"/>
          </w:rPr>
          <w:t>Appendix A</w:t>
        </w:r>
      </w:hyperlink>
      <w:r w:rsidR="00310C08">
        <w:t>.</w:t>
      </w:r>
    </w:p>
    <w:p w14:paraId="072A9265" w14:textId="48C80718" w:rsidR="007D21D3" w:rsidRPr="00400FAE" w:rsidRDefault="007D21D3" w:rsidP="00400FAE">
      <w:pPr>
        <w:pStyle w:val="TSB-Level1Numbers"/>
        <w:spacing w:after="0" w:line="240" w:lineRule="auto"/>
        <w:rPr>
          <w:color w:val="000000" w:themeColor="text1"/>
        </w:rPr>
      </w:pPr>
      <w:r>
        <w:t>Members of the</w:t>
      </w:r>
      <w:r w:rsidR="00095AF6">
        <w:t xml:space="preserve"> </w:t>
      </w:r>
      <w:r w:rsidR="009758BD">
        <w:rPr>
          <w:color w:val="000000" w:themeColor="text1"/>
        </w:rPr>
        <w:t>Finance</w:t>
      </w:r>
      <w:r w:rsidR="000B209E" w:rsidRPr="00400FAE">
        <w:rPr>
          <w:color w:val="000000" w:themeColor="text1"/>
        </w:rPr>
        <w:t xml:space="preserve"> Committee</w:t>
      </w:r>
      <w:r w:rsidRPr="00400FAE">
        <w:rPr>
          <w:color w:val="000000" w:themeColor="text1"/>
        </w:rPr>
        <w:t xml:space="preserve"> will withdraw from the meeting if there is an identified or potential conflict of interest</w:t>
      </w:r>
      <w:r w:rsidR="004D581B" w:rsidRPr="00400FAE">
        <w:rPr>
          <w:color w:val="000000" w:themeColor="text1"/>
        </w:rPr>
        <w:t>,</w:t>
      </w:r>
      <w:r w:rsidRPr="00400FAE">
        <w:rPr>
          <w:color w:val="000000" w:themeColor="text1"/>
        </w:rPr>
        <w:t xml:space="preserve"> or there is a motion to question their ability to remain impartial</w:t>
      </w:r>
      <w:bookmarkEnd w:id="19"/>
      <w:r w:rsidRPr="00400FAE">
        <w:rPr>
          <w:color w:val="000000" w:themeColor="text1"/>
        </w:rPr>
        <w:t xml:space="preserve">. </w:t>
      </w:r>
    </w:p>
    <w:p w14:paraId="3E399E04" w14:textId="6B51935A" w:rsidR="00095AF6" w:rsidRPr="00400FAE" w:rsidRDefault="00095AF6" w:rsidP="00400FAE">
      <w:pPr>
        <w:pStyle w:val="TSB-Level1Numbers"/>
        <w:spacing w:after="0" w:line="240" w:lineRule="auto"/>
        <w:rPr>
          <w:color w:val="000000" w:themeColor="text1"/>
        </w:rPr>
      </w:pPr>
      <w:r w:rsidRPr="00400FAE">
        <w:rPr>
          <w:color w:val="000000" w:themeColor="text1"/>
        </w:rPr>
        <w:t xml:space="preserve">The </w:t>
      </w:r>
      <w:r w:rsidR="009758BD">
        <w:rPr>
          <w:color w:val="000000" w:themeColor="text1"/>
        </w:rPr>
        <w:t>Finance</w:t>
      </w:r>
      <w:r w:rsidR="000B209E" w:rsidRPr="00400FAE">
        <w:rPr>
          <w:color w:val="000000" w:themeColor="text1"/>
        </w:rPr>
        <w:t xml:space="preserve"> Committee</w:t>
      </w:r>
      <w:r w:rsidRPr="00400FAE">
        <w:rPr>
          <w:color w:val="000000" w:themeColor="text1"/>
        </w:rPr>
        <w:t xml:space="preserve"> will </w:t>
      </w:r>
      <w:r w:rsidR="00160AD0" w:rsidRPr="00400FAE">
        <w:rPr>
          <w:color w:val="000000" w:themeColor="text1"/>
        </w:rPr>
        <w:t>advise the board of trustees on accounting</w:t>
      </w:r>
      <w:r w:rsidR="001635B2" w:rsidRPr="00400FAE">
        <w:rPr>
          <w:color w:val="000000" w:themeColor="text1"/>
        </w:rPr>
        <w:t xml:space="preserve"> and finance-related</w:t>
      </w:r>
      <w:r w:rsidR="00160AD0" w:rsidRPr="00400FAE">
        <w:rPr>
          <w:color w:val="000000" w:themeColor="text1"/>
        </w:rPr>
        <w:t xml:space="preserve"> policies, the trust’s accounts, and the trust’s annual report, including the process for review</w:t>
      </w:r>
      <w:r w:rsidR="00C703BB" w:rsidRPr="00400FAE">
        <w:rPr>
          <w:color w:val="000000" w:themeColor="text1"/>
        </w:rPr>
        <w:t>ing</w:t>
      </w:r>
      <w:r w:rsidR="00160AD0" w:rsidRPr="00400FAE">
        <w:rPr>
          <w:color w:val="000000" w:themeColor="text1"/>
        </w:rPr>
        <w:t xml:space="preserve"> the accounts prior </w:t>
      </w:r>
      <w:r w:rsidR="00807CFB" w:rsidRPr="00400FAE">
        <w:rPr>
          <w:color w:val="000000" w:themeColor="text1"/>
        </w:rPr>
        <w:t xml:space="preserve">to </w:t>
      </w:r>
      <w:r w:rsidR="00160AD0" w:rsidRPr="00400FAE">
        <w:rPr>
          <w:color w:val="000000" w:themeColor="text1"/>
        </w:rPr>
        <w:t xml:space="preserve">submission for audit. </w:t>
      </w:r>
    </w:p>
    <w:p w14:paraId="4A3FE98E" w14:textId="0B3CE6B8" w:rsidR="00160AD0" w:rsidRDefault="00160AD0" w:rsidP="00400FAE">
      <w:pPr>
        <w:pStyle w:val="TSB-Level1Numbers"/>
        <w:spacing w:after="0" w:line="240" w:lineRule="auto"/>
      </w:pPr>
      <w:r w:rsidRPr="00400FAE">
        <w:rPr>
          <w:color w:val="000000" w:themeColor="text1"/>
        </w:rPr>
        <w:t xml:space="preserve">The </w:t>
      </w:r>
      <w:r w:rsidR="009758BD">
        <w:rPr>
          <w:color w:val="000000" w:themeColor="text1"/>
        </w:rPr>
        <w:t>Finance</w:t>
      </w:r>
      <w:r w:rsidR="000B209E" w:rsidRPr="00400FAE">
        <w:rPr>
          <w:color w:val="000000" w:themeColor="text1"/>
        </w:rPr>
        <w:t xml:space="preserve"> Committee</w:t>
      </w:r>
      <w:r w:rsidRPr="00400FAE">
        <w:rPr>
          <w:color w:val="000000" w:themeColor="text1"/>
        </w:rPr>
        <w:t xml:space="preserve"> will be responsible for reviewing and offering advice with regards to </w:t>
      </w:r>
      <w:r>
        <w:t xml:space="preserve">the development of anti-fraud policies, whistleblowing processes and arrangements for special investigations. </w:t>
      </w:r>
    </w:p>
    <w:p w14:paraId="17C916C4" w14:textId="46A9E641" w:rsidR="001635B2" w:rsidRDefault="001635B2" w:rsidP="00400FAE">
      <w:pPr>
        <w:pStyle w:val="TSB-Level1Numbers"/>
        <w:numPr>
          <w:ilvl w:val="0"/>
          <w:numId w:val="0"/>
        </w:numPr>
        <w:spacing w:after="0" w:line="240" w:lineRule="auto"/>
      </w:pPr>
      <w:bookmarkStart w:id="21" w:name="renumeration"/>
      <w:bookmarkEnd w:id="21"/>
    </w:p>
    <w:p w14:paraId="7EF335A2" w14:textId="7F21A62C" w:rsidR="00400FAE" w:rsidRDefault="00400FAE" w:rsidP="00400FAE">
      <w:pPr>
        <w:pStyle w:val="TSB-Level1Numbers"/>
        <w:numPr>
          <w:ilvl w:val="0"/>
          <w:numId w:val="0"/>
        </w:numPr>
        <w:spacing w:after="0" w:line="240" w:lineRule="auto"/>
        <w:ind w:left="720"/>
        <w:rPr>
          <w:b/>
          <w:bCs/>
          <w:color w:val="000000" w:themeColor="text1"/>
        </w:rPr>
      </w:pPr>
      <w:r w:rsidRPr="00400FAE">
        <w:rPr>
          <w:b/>
          <w:bCs/>
          <w:color w:val="000000" w:themeColor="text1"/>
        </w:rPr>
        <w:t>Pay Related</w:t>
      </w:r>
    </w:p>
    <w:p w14:paraId="25158E72" w14:textId="77777777" w:rsidR="00BE492C" w:rsidRPr="00400FAE" w:rsidRDefault="00BE492C" w:rsidP="00400FAE">
      <w:pPr>
        <w:pStyle w:val="TSB-Level1Numbers"/>
        <w:numPr>
          <w:ilvl w:val="0"/>
          <w:numId w:val="0"/>
        </w:numPr>
        <w:spacing w:after="0" w:line="240" w:lineRule="auto"/>
        <w:ind w:left="720"/>
        <w:rPr>
          <w:b/>
          <w:bCs/>
          <w:color w:val="000000" w:themeColor="text1"/>
        </w:rPr>
      </w:pPr>
    </w:p>
    <w:p w14:paraId="666826AE" w14:textId="16CC8B17" w:rsidR="00C32D76" w:rsidRDefault="008F7A32" w:rsidP="00400FAE">
      <w:pPr>
        <w:pStyle w:val="TSB-Level1Numbers"/>
        <w:spacing w:after="0" w:line="240" w:lineRule="auto"/>
      </w:pPr>
      <w:r>
        <w:t>Ensuring a</w:t>
      </w:r>
      <w:r w:rsidR="00C32D76" w:rsidRPr="003D0939">
        <w:t>nnual pay awards</w:t>
      </w:r>
      <w:r w:rsidR="00CC5147">
        <w:t xml:space="preserve"> for </w:t>
      </w:r>
      <w:r w:rsidR="001635B2">
        <w:t xml:space="preserve">executive and </w:t>
      </w:r>
      <w:r w:rsidR="00CC5147">
        <w:t>senior leaders</w:t>
      </w:r>
      <w:r w:rsidR="00C32D76" w:rsidRPr="003D0939">
        <w:t xml:space="preserve">, </w:t>
      </w:r>
      <w:r w:rsidR="00CC5147">
        <w:t>which should be based on the outcomes of their performance appraisals</w:t>
      </w:r>
      <w:r w:rsidR="00C32D76" w:rsidRPr="003D0939">
        <w:t xml:space="preserve">, </w:t>
      </w:r>
      <w:r>
        <w:t>are</w:t>
      </w:r>
      <w:r w:rsidR="00C32D76" w:rsidRPr="003D0939">
        <w:t xml:space="preserve"> reviewed on an annual basis by the committee, and recommendations for approval to the </w:t>
      </w:r>
      <w:r w:rsidR="00B0796E">
        <w:t>board of trustees</w:t>
      </w:r>
      <w:r w:rsidR="00C32D76" w:rsidRPr="003D0939">
        <w:t xml:space="preserve"> </w:t>
      </w:r>
      <w:r>
        <w:t>are</w:t>
      </w:r>
      <w:r w:rsidRPr="003D0939">
        <w:t xml:space="preserve"> </w:t>
      </w:r>
      <w:r w:rsidR="00C32D76" w:rsidRPr="003D0939">
        <w:t xml:space="preserve">made. </w:t>
      </w:r>
      <w:r>
        <w:t>The committee will make certain</w:t>
      </w:r>
      <w:r w:rsidR="00C703BB">
        <w:t xml:space="preserve"> </w:t>
      </w:r>
      <w:proofErr w:type="gramStart"/>
      <w:r w:rsidR="00C703BB">
        <w:t>executive</w:t>
      </w:r>
      <w:proofErr w:type="gramEnd"/>
      <w:r w:rsidR="00C703BB">
        <w:t xml:space="preserve"> and</w:t>
      </w:r>
      <w:r>
        <w:t xml:space="preserve"> </w:t>
      </w:r>
      <w:r w:rsidR="00B0796E">
        <w:t>senior</w:t>
      </w:r>
      <w:r w:rsidR="00390E2D">
        <w:t xml:space="preserve"> </w:t>
      </w:r>
      <w:r w:rsidR="00257E69">
        <w:t xml:space="preserve">leaders </w:t>
      </w:r>
      <w:r w:rsidR="009808F4">
        <w:t>are</w:t>
      </w:r>
      <w:r w:rsidR="00257E69">
        <w:t xml:space="preserve"> </w:t>
      </w:r>
      <w:r w:rsidR="009808F4">
        <w:t xml:space="preserve">not </w:t>
      </w:r>
      <w:r w:rsidR="00257E69">
        <w:t xml:space="preserve">involved in setting or reviewing their own </w:t>
      </w:r>
      <w:r w:rsidR="00ED04DD">
        <w:t>remuneration</w:t>
      </w:r>
      <w:r w:rsidR="00257E69">
        <w:t>.</w:t>
      </w:r>
    </w:p>
    <w:p w14:paraId="171B7912" w14:textId="59B3BF25" w:rsidR="00C32D76" w:rsidRPr="00400FAE" w:rsidRDefault="008F7A32" w:rsidP="00400FAE">
      <w:pPr>
        <w:pStyle w:val="TSB-Level1Numbers"/>
        <w:spacing w:after="0" w:line="240" w:lineRule="auto"/>
        <w:rPr>
          <w:color w:val="000000" w:themeColor="text1"/>
        </w:rPr>
      </w:pPr>
      <w:r>
        <w:t xml:space="preserve">Reviewing and approving all </w:t>
      </w:r>
      <w:r w:rsidR="00E853E0">
        <w:t xml:space="preserve">gifts </w:t>
      </w:r>
      <w:r>
        <w:t>received by</w:t>
      </w:r>
      <w:r w:rsidR="00C703BB">
        <w:t xml:space="preserve"> executive and</w:t>
      </w:r>
      <w:r>
        <w:t xml:space="preserve"> </w:t>
      </w:r>
      <w:r w:rsidR="00B0796E">
        <w:t>senior</w:t>
      </w:r>
      <w:r>
        <w:t xml:space="preserve"> leaders</w:t>
      </w:r>
      <w:r w:rsidR="00E853E0">
        <w:t xml:space="preserve"> in line with</w:t>
      </w:r>
      <w:r w:rsidR="00390E2D">
        <w:t xml:space="preserve"> </w:t>
      </w:r>
      <w:r w:rsidR="00E853E0">
        <w:t xml:space="preserve">the </w:t>
      </w:r>
      <w:r w:rsidR="009A5CB6">
        <w:t>trust</w:t>
      </w:r>
      <w:r w:rsidR="00E853E0">
        <w:t xml:space="preserve">’s </w:t>
      </w:r>
      <w:r w:rsidR="00E853E0" w:rsidRPr="00400FAE">
        <w:rPr>
          <w:color w:val="000000" w:themeColor="text1"/>
        </w:rPr>
        <w:t>Gifts, Hospitality and Anti-Bribery Policy.</w:t>
      </w:r>
    </w:p>
    <w:p w14:paraId="09AB44B5" w14:textId="5A71DC91" w:rsidR="00720643" w:rsidRDefault="00C963ED" w:rsidP="00400FAE">
      <w:pPr>
        <w:pStyle w:val="TSB-Level1Numbers"/>
        <w:spacing w:after="0" w:line="240" w:lineRule="auto"/>
      </w:pPr>
      <w:r w:rsidRPr="00400FAE">
        <w:rPr>
          <w:color w:val="000000" w:themeColor="text1"/>
        </w:rPr>
        <w:t>Ensuring</w:t>
      </w:r>
      <w:r w:rsidR="00720643" w:rsidRPr="00400FAE">
        <w:rPr>
          <w:color w:val="000000" w:themeColor="text1"/>
        </w:rPr>
        <w:t xml:space="preserve"> an effective Pay Policy </w:t>
      </w:r>
      <w:r w:rsidR="00720643" w:rsidRPr="00720643">
        <w:t>is developed and implemented.</w:t>
      </w:r>
    </w:p>
    <w:p w14:paraId="545AFF60" w14:textId="1FB50C9C" w:rsidR="00C963ED" w:rsidRDefault="008F7A32" w:rsidP="00400FAE">
      <w:pPr>
        <w:pStyle w:val="TSB-Level1Numbers"/>
        <w:spacing w:after="0" w:line="240" w:lineRule="auto"/>
      </w:pPr>
      <w:r>
        <w:t>Ensuring the a</w:t>
      </w:r>
      <w:r w:rsidR="00511A5A">
        <w:t>nalys</w:t>
      </w:r>
      <w:r w:rsidR="00E015F3">
        <w:t>i</w:t>
      </w:r>
      <w:r w:rsidR="00511A5A">
        <w:t>s</w:t>
      </w:r>
      <w:r w:rsidR="00C963ED">
        <w:t xml:space="preserve"> of pay information to </w:t>
      </w:r>
      <w:r w:rsidR="00C963ED" w:rsidRPr="00C963ED">
        <w:t>identify and explore any gender pay gaps, challenges to achieving pay equality in the trust and any success</w:t>
      </w:r>
      <w:r w:rsidR="00C963ED">
        <w:t>es.</w:t>
      </w:r>
    </w:p>
    <w:p w14:paraId="54B8D8AB" w14:textId="77777777" w:rsidR="00400FAE" w:rsidRDefault="00400FAE" w:rsidP="00400FAE">
      <w:pPr>
        <w:pStyle w:val="Heading10"/>
        <w:numPr>
          <w:ilvl w:val="0"/>
          <w:numId w:val="0"/>
        </w:numPr>
        <w:spacing w:after="0" w:line="240" w:lineRule="auto"/>
        <w:ind w:firstLine="720"/>
      </w:pPr>
      <w:bookmarkStart w:id="22" w:name="_Delegated_powers_of_7"/>
      <w:bookmarkEnd w:id="22"/>
    </w:p>
    <w:p w14:paraId="52E871B6" w14:textId="16E09C22" w:rsidR="003E5E63" w:rsidRDefault="00400FAE" w:rsidP="00400FAE">
      <w:pPr>
        <w:pStyle w:val="Heading10"/>
        <w:numPr>
          <w:ilvl w:val="0"/>
          <w:numId w:val="0"/>
        </w:numPr>
        <w:spacing w:after="0" w:line="240" w:lineRule="auto"/>
        <w:ind w:firstLine="720"/>
        <w:rPr>
          <w:sz w:val="24"/>
          <w:szCs w:val="24"/>
        </w:rPr>
      </w:pPr>
      <w:r w:rsidRPr="00400FAE">
        <w:rPr>
          <w:sz w:val="24"/>
          <w:szCs w:val="24"/>
        </w:rPr>
        <w:t>A</w:t>
      </w:r>
      <w:r w:rsidR="00ED04DD" w:rsidRPr="00400FAE">
        <w:rPr>
          <w:sz w:val="24"/>
          <w:szCs w:val="24"/>
        </w:rPr>
        <w:t xml:space="preserve">udit </w:t>
      </w:r>
    </w:p>
    <w:p w14:paraId="5B843636" w14:textId="77777777" w:rsidR="00BE492C" w:rsidRPr="00BE492C" w:rsidRDefault="00BE492C" w:rsidP="00BE492C"/>
    <w:p w14:paraId="0DF2569B" w14:textId="237AEFFB" w:rsidR="003E5E63" w:rsidRDefault="007D21D3" w:rsidP="00400FAE">
      <w:pPr>
        <w:pStyle w:val="TSB-Level1Numbers"/>
        <w:spacing w:after="0" w:line="240" w:lineRule="auto"/>
      </w:pPr>
      <w:r>
        <w:t xml:space="preserve">The </w:t>
      </w:r>
      <w:r w:rsidR="00ED04DD">
        <w:rPr>
          <w:rFonts w:ascii="Arial" w:hAnsi="Arial"/>
        </w:rPr>
        <w:t>committee</w:t>
      </w:r>
      <w:r>
        <w:t xml:space="preserve"> will handle all matters relating to auditing, internal </w:t>
      </w:r>
      <w:r w:rsidR="00BE492C">
        <w:t>checks/</w:t>
      </w:r>
      <w:r>
        <w:t>scrutiny, finance and risk management.</w:t>
      </w:r>
    </w:p>
    <w:p w14:paraId="5A6C571F" w14:textId="14C00B46" w:rsidR="007D21D3" w:rsidRDefault="007D21D3" w:rsidP="00400FAE">
      <w:pPr>
        <w:pStyle w:val="TSB-Level1Numbers"/>
        <w:spacing w:after="0" w:line="240" w:lineRule="auto"/>
      </w:pPr>
      <w:r>
        <w:t xml:space="preserve">The </w:t>
      </w:r>
      <w:r w:rsidR="00ED04DD">
        <w:rPr>
          <w:rFonts w:ascii="Arial" w:hAnsi="Arial"/>
        </w:rPr>
        <w:t>committee</w:t>
      </w:r>
      <w:r>
        <w:t xml:space="preserve"> will have due regard to all relevant legislation and advise the board of trustees when policies and procedures need to be revised in accordance with updates.</w:t>
      </w:r>
    </w:p>
    <w:p w14:paraId="43377F1A" w14:textId="7733F6EB" w:rsidR="007D21D3" w:rsidRDefault="007D21D3" w:rsidP="00400FAE">
      <w:pPr>
        <w:pStyle w:val="TSB-Level1Numbers"/>
        <w:spacing w:after="0" w:line="240" w:lineRule="auto"/>
      </w:pPr>
      <w:r>
        <w:t xml:space="preserve">Where necessary, the </w:t>
      </w:r>
      <w:r w:rsidR="00ED04DD">
        <w:rPr>
          <w:rFonts w:ascii="Arial" w:hAnsi="Arial"/>
        </w:rPr>
        <w:t>committee</w:t>
      </w:r>
      <w:r>
        <w:t xml:space="preserve"> will seek professional advice to ensure they can carry out their duties</w:t>
      </w:r>
      <w:r w:rsidR="001635B2">
        <w:t xml:space="preserve"> effectively</w:t>
      </w:r>
      <w:r>
        <w:t>.</w:t>
      </w:r>
    </w:p>
    <w:p w14:paraId="6919F862" w14:textId="7142E95F" w:rsidR="000E609D" w:rsidRDefault="000E609D" w:rsidP="00400FAE">
      <w:pPr>
        <w:pStyle w:val="TSB-Level1Numbers"/>
        <w:spacing w:after="0" w:line="240" w:lineRule="auto"/>
      </w:pPr>
      <w:r>
        <w:t xml:space="preserve">The </w:t>
      </w:r>
      <w:r w:rsidR="00ED04DD">
        <w:rPr>
          <w:rFonts w:ascii="Arial" w:hAnsi="Arial"/>
        </w:rPr>
        <w:t>committee</w:t>
      </w:r>
      <w:r>
        <w:t xml:space="preserve"> </w:t>
      </w:r>
      <w:r w:rsidR="001635B2">
        <w:t>will take</w:t>
      </w:r>
      <w:r>
        <w:t xml:space="preserve"> responsibility for providing the ESFA with any internal </w:t>
      </w:r>
      <w:r w:rsidR="00BE492C">
        <w:t>checks/</w:t>
      </w:r>
      <w:r>
        <w:t>scrutiny reports they request and ensuring the audited accounts are submitted to the ESFA by 31 December each year.</w:t>
      </w:r>
    </w:p>
    <w:p w14:paraId="75A35A19" w14:textId="4BF40B35" w:rsidR="000E609D" w:rsidRDefault="000E609D" w:rsidP="00400FAE">
      <w:pPr>
        <w:pStyle w:val="TSB-Level1Numbers"/>
        <w:spacing w:after="0" w:line="240" w:lineRule="auto"/>
      </w:pPr>
      <w:r>
        <w:t xml:space="preserve">The </w:t>
      </w:r>
      <w:r w:rsidR="00ED04DD">
        <w:rPr>
          <w:rFonts w:ascii="Arial" w:hAnsi="Arial"/>
        </w:rPr>
        <w:t>committee</w:t>
      </w:r>
      <w:r>
        <w:t xml:space="preserve"> will receive reports, e.g. the annual accounts and management letters, consider any issues raised and the associated management response and action plans, and report necessary actions to the board of trustees. </w:t>
      </w:r>
    </w:p>
    <w:p w14:paraId="52EA4CDE" w14:textId="6F7C3344" w:rsidR="00D7553E" w:rsidRDefault="00D7553E" w:rsidP="00400FAE">
      <w:pPr>
        <w:pStyle w:val="TSB-Level1Numbers"/>
        <w:spacing w:after="0" w:line="240" w:lineRule="auto"/>
      </w:pPr>
      <w:r>
        <w:t>The</w:t>
      </w:r>
      <w:r w:rsidR="00ED04DD">
        <w:rPr>
          <w:rFonts w:ascii="Arial" w:hAnsi="Arial"/>
        </w:rPr>
        <w:t xml:space="preserve"> committee</w:t>
      </w:r>
      <w:r>
        <w:t xml:space="preserve"> will be responsible for directing the trust’s programme of internal scrutiny and ensuring it is informed by risk. The committee will report the findings from internal scrutiny activities to the board of trustees. </w:t>
      </w:r>
    </w:p>
    <w:p w14:paraId="01ECD2DB" w14:textId="2E6E56E8" w:rsidR="00D7553E" w:rsidRDefault="00D7553E" w:rsidP="00400FAE">
      <w:pPr>
        <w:pStyle w:val="TSB-Level1Numbers"/>
        <w:spacing w:after="0" w:line="240" w:lineRule="auto"/>
      </w:pPr>
      <w:r>
        <w:t xml:space="preserve">The </w:t>
      </w:r>
      <w:r w:rsidR="00ED04DD">
        <w:rPr>
          <w:rFonts w:ascii="Arial" w:hAnsi="Arial"/>
        </w:rPr>
        <w:t>committee</w:t>
      </w:r>
      <w:r>
        <w:t xml:space="preserve"> will compile a report highlighting the areas they have reviewed and if any progress has been made in these areas – reports will also include key findings, recommendations and conclusions. </w:t>
      </w:r>
    </w:p>
    <w:p w14:paraId="5C3845AF" w14:textId="7516EE7F" w:rsidR="00D7553E" w:rsidRDefault="00D7553E" w:rsidP="00400FAE">
      <w:pPr>
        <w:pStyle w:val="TSB-Level1Numbers"/>
        <w:spacing w:after="0" w:line="240" w:lineRule="auto"/>
      </w:pPr>
      <w:r>
        <w:t xml:space="preserve">The </w:t>
      </w:r>
      <w:r w:rsidR="00ED04DD">
        <w:rPr>
          <w:rFonts w:ascii="Arial" w:hAnsi="Arial"/>
        </w:rPr>
        <w:t>committee</w:t>
      </w:r>
      <w:r>
        <w:t xml:space="preserve"> will take responsibility for the appointment, re-appointment, dismissal and remuneration of external and regulatory auditors, and </w:t>
      </w:r>
      <w:r w:rsidR="00BA4AB9">
        <w:t xml:space="preserve">for </w:t>
      </w:r>
      <w:r>
        <w:t>reviewing the quality of their work.</w:t>
      </w:r>
    </w:p>
    <w:p w14:paraId="0EA8FD61" w14:textId="6777632A" w:rsidR="00D7553E" w:rsidRDefault="00D7553E" w:rsidP="00400FAE">
      <w:pPr>
        <w:pStyle w:val="TSB-Level1Numbers"/>
        <w:spacing w:after="0" w:line="240" w:lineRule="auto"/>
      </w:pPr>
      <w:r>
        <w:t xml:space="preserve">The committee will review the external auditor’s planning documents and approve their approach. </w:t>
      </w:r>
    </w:p>
    <w:p w14:paraId="6A242C6E" w14:textId="528EE9FF" w:rsidR="00D7553E" w:rsidRDefault="00D7553E" w:rsidP="00400FAE">
      <w:pPr>
        <w:pStyle w:val="TSB-Level1Numbers"/>
        <w:spacing w:after="0" w:line="240" w:lineRule="auto"/>
      </w:pPr>
      <w:r>
        <w:t xml:space="preserve">With regards to risk management, the </w:t>
      </w:r>
      <w:r w:rsidR="00ED04DD">
        <w:rPr>
          <w:rFonts w:ascii="Arial" w:hAnsi="Arial"/>
        </w:rPr>
        <w:t>committee</w:t>
      </w:r>
      <w:r>
        <w:t xml:space="preserve"> will: </w:t>
      </w:r>
    </w:p>
    <w:p w14:paraId="2968DEF0" w14:textId="3404C136" w:rsidR="00D7553E" w:rsidRDefault="00D7553E" w:rsidP="00400FAE">
      <w:pPr>
        <w:pStyle w:val="PolicyBullets"/>
        <w:spacing w:line="240" w:lineRule="auto"/>
        <w:contextualSpacing w:val="0"/>
        <w:jc w:val="both"/>
      </w:pPr>
      <w:r>
        <w:t>Report to the board of trustees on the adequacy of the trust’s risk management processes.</w:t>
      </w:r>
    </w:p>
    <w:p w14:paraId="2DE8DEF6" w14:textId="107F2C50" w:rsidR="00D7553E" w:rsidRDefault="00D7553E" w:rsidP="00400FAE">
      <w:pPr>
        <w:pStyle w:val="PolicyBullets"/>
        <w:spacing w:line="240" w:lineRule="auto"/>
        <w:contextualSpacing w:val="0"/>
        <w:jc w:val="both"/>
      </w:pPr>
      <w:r>
        <w:t>Make recommendations and advise on the strategic processes for risk, control and governance</w:t>
      </w:r>
      <w:r w:rsidR="009C042D">
        <w:t>,</w:t>
      </w:r>
      <w:r>
        <w:t xml:space="preserve"> and the governance statement.</w:t>
      </w:r>
    </w:p>
    <w:p w14:paraId="63403823" w14:textId="284594CF" w:rsidR="00D7553E" w:rsidRDefault="00D7553E" w:rsidP="00400FAE">
      <w:pPr>
        <w:pStyle w:val="PolicyBullets"/>
        <w:spacing w:line="240" w:lineRule="auto"/>
        <w:contextualSpacing w:val="0"/>
        <w:jc w:val="both"/>
      </w:pPr>
      <w:r>
        <w:t xml:space="preserve">Advise on assurances relating to the management of risk and governance requirements for the trust. </w:t>
      </w:r>
    </w:p>
    <w:p w14:paraId="293400E5" w14:textId="58BB56BC" w:rsidR="00D7553E" w:rsidRDefault="00D7553E" w:rsidP="00400FAE">
      <w:pPr>
        <w:pStyle w:val="TSB-Level1Numbers"/>
        <w:spacing w:after="0" w:line="240" w:lineRule="auto"/>
      </w:pPr>
      <w:r>
        <w:t xml:space="preserve">The </w:t>
      </w:r>
      <w:r w:rsidR="00ED04DD">
        <w:rPr>
          <w:rFonts w:ascii="Arial" w:hAnsi="Arial"/>
        </w:rPr>
        <w:t>committee</w:t>
      </w:r>
      <w:r>
        <w:t xml:space="preserve"> </w:t>
      </w:r>
      <w:r w:rsidR="001635B2">
        <w:t>must</w:t>
      </w:r>
      <w:r>
        <w:t xml:space="preserve"> meet at least three times a year</w:t>
      </w:r>
      <w:r w:rsidR="001635B2">
        <w:t xml:space="preserve"> and, during these meetings, the </w:t>
      </w:r>
      <w:r w:rsidR="00ED04DD">
        <w:t>audit committee</w:t>
      </w:r>
      <w:r w:rsidR="001635B2">
        <w:t xml:space="preserve"> will</w:t>
      </w:r>
      <w:r w:rsidR="007D0957">
        <w:t xml:space="preserve"> carry out the following tasks: </w:t>
      </w:r>
    </w:p>
    <w:p w14:paraId="49D7D22C" w14:textId="66D3BFE5" w:rsidR="007D0957" w:rsidRDefault="007D0957" w:rsidP="00400FAE">
      <w:pPr>
        <w:pStyle w:val="PolicyBullets"/>
        <w:spacing w:line="240" w:lineRule="auto"/>
        <w:contextualSpacing w:val="0"/>
        <w:jc w:val="both"/>
      </w:pPr>
      <w:r>
        <w:t>Agreeing a programme of work to deliver internal scrutiny that provides necessary coverage across the year, using the trust’s risk register to inform the programme</w:t>
      </w:r>
    </w:p>
    <w:p w14:paraId="647599DE" w14:textId="4F4C132B" w:rsidR="007D0957" w:rsidRDefault="007D0957" w:rsidP="00400FAE">
      <w:pPr>
        <w:pStyle w:val="PolicyBullets"/>
        <w:spacing w:line="240" w:lineRule="auto"/>
        <w:contextualSpacing w:val="0"/>
        <w:jc w:val="both"/>
      </w:pPr>
      <w:r>
        <w:t xml:space="preserve">Agreeing who will be responsible for overseeing </w:t>
      </w:r>
      <w:r w:rsidR="001635B2">
        <w:t>each</w:t>
      </w:r>
      <w:r>
        <w:t xml:space="preserve"> element of the programme of work</w:t>
      </w:r>
    </w:p>
    <w:p w14:paraId="286C7824" w14:textId="28D363D7" w:rsidR="007D0957" w:rsidRDefault="007D0957" w:rsidP="00400FAE">
      <w:pPr>
        <w:pStyle w:val="PolicyBullets"/>
        <w:spacing w:line="240" w:lineRule="auto"/>
        <w:contextualSpacing w:val="0"/>
        <w:jc w:val="both"/>
      </w:pPr>
      <w:r>
        <w:t>Reviewing internal</w:t>
      </w:r>
      <w:r w:rsidR="00BE492C">
        <w:t xml:space="preserve"> checks</w:t>
      </w:r>
      <w:r>
        <w:t xml:space="preserve"> and external audit plans for the academic year</w:t>
      </w:r>
    </w:p>
    <w:p w14:paraId="2149424D" w14:textId="005D190D" w:rsidR="007D0957" w:rsidRDefault="007D0957" w:rsidP="00400FAE">
      <w:pPr>
        <w:pStyle w:val="PolicyBullets"/>
        <w:spacing w:line="240" w:lineRule="auto"/>
        <w:contextualSpacing w:val="0"/>
        <w:jc w:val="both"/>
      </w:pPr>
      <w:r>
        <w:t xml:space="preserve">Reviewing the trust’s budget forecast returns to ensure their accuracy and compliance with </w:t>
      </w:r>
      <w:r w:rsidR="00BA4AB9">
        <w:t xml:space="preserve">the </w:t>
      </w:r>
      <w:r>
        <w:t>trust’s funding criteria</w:t>
      </w:r>
    </w:p>
    <w:p w14:paraId="0CFD2929" w14:textId="7D7CC45C" w:rsidR="007D0957" w:rsidRDefault="007D0957" w:rsidP="00400FAE">
      <w:pPr>
        <w:pStyle w:val="PolicyBullets"/>
        <w:spacing w:line="240" w:lineRule="auto"/>
        <w:contextualSpacing w:val="0"/>
        <w:jc w:val="both"/>
      </w:pPr>
      <w:r>
        <w:t>Commenting on the annual report and accounts for the previous academic year prior to their finalisation and submission for auditing</w:t>
      </w:r>
    </w:p>
    <w:p w14:paraId="368602B8" w14:textId="14C0E748" w:rsidR="007D0957" w:rsidRDefault="007D0957" w:rsidP="00400FAE">
      <w:pPr>
        <w:pStyle w:val="PolicyBullets"/>
        <w:spacing w:line="240" w:lineRule="auto"/>
        <w:contextualSpacing w:val="0"/>
        <w:jc w:val="both"/>
      </w:pPr>
      <w:r>
        <w:t>Reviewing the content of the governance statement before it is presented alongside the finalised accounts</w:t>
      </w:r>
    </w:p>
    <w:p w14:paraId="41A2ABF3" w14:textId="4EB442AE" w:rsidR="007D0957" w:rsidRDefault="007D0957" w:rsidP="00400FAE">
      <w:pPr>
        <w:pStyle w:val="PolicyBullets"/>
        <w:spacing w:line="240" w:lineRule="auto"/>
        <w:contextualSpacing w:val="0"/>
      </w:pPr>
      <w:r>
        <w:t xml:space="preserve">Discussing recommendations and </w:t>
      </w:r>
      <w:r w:rsidR="006E5FCA">
        <w:t xml:space="preserve">the outcomes </w:t>
      </w:r>
      <w:r>
        <w:t>of assurance activities from third parties</w:t>
      </w:r>
    </w:p>
    <w:p w14:paraId="07C8F5D0" w14:textId="3573AAB4" w:rsidR="007D0957" w:rsidRDefault="007D0957" w:rsidP="00400FAE">
      <w:pPr>
        <w:pStyle w:val="PolicyBullets"/>
        <w:spacing w:line="240" w:lineRule="auto"/>
        <w:contextualSpacing w:val="0"/>
      </w:pPr>
      <w:r>
        <w:t>Reviewing the trust’s land and buildings collection tool (LBCT) to ensure its compliance with the trust’s funding criteria</w:t>
      </w:r>
    </w:p>
    <w:p w14:paraId="31688CC4" w14:textId="63FF1CF9" w:rsidR="007D0957" w:rsidRDefault="007D0957" w:rsidP="00400FAE">
      <w:pPr>
        <w:pStyle w:val="PolicyBullets"/>
        <w:spacing w:line="240" w:lineRule="auto"/>
        <w:contextualSpacing w:val="0"/>
      </w:pPr>
      <w:r>
        <w:t>Reviewing and consider</w:t>
      </w:r>
      <w:r w:rsidR="009C042D">
        <w:t>ing</w:t>
      </w:r>
      <w:r>
        <w:t xml:space="preserve"> the annual audited accounts</w:t>
      </w:r>
    </w:p>
    <w:p w14:paraId="3350BDF4" w14:textId="4562302F" w:rsidR="007D0957" w:rsidRDefault="007D0957" w:rsidP="00400FAE">
      <w:pPr>
        <w:pStyle w:val="PolicyBullets"/>
        <w:spacing w:line="240" w:lineRule="auto"/>
        <w:contextualSpacing w:val="0"/>
      </w:pPr>
      <w:r>
        <w:t xml:space="preserve">Discussing the implications of the result of the accounting officer’s statement of regularity </w:t>
      </w:r>
    </w:p>
    <w:p w14:paraId="62DF4B8C" w14:textId="43E3A11E" w:rsidR="007D0957" w:rsidRDefault="007D0957" w:rsidP="00400FAE">
      <w:pPr>
        <w:pStyle w:val="PolicyBullets"/>
        <w:spacing w:line="240" w:lineRule="auto"/>
        <w:contextualSpacing w:val="0"/>
      </w:pPr>
      <w:r>
        <w:t>Consid</w:t>
      </w:r>
      <w:r w:rsidR="00A06099">
        <w:t>ering the internal scrutiny report and discuss</w:t>
      </w:r>
      <w:r w:rsidR="00303A6F">
        <w:t>ing</w:t>
      </w:r>
      <w:r w:rsidR="00A06099">
        <w:t xml:space="preserve"> the progress made against recommendations </w:t>
      </w:r>
      <w:r w:rsidR="00303A6F">
        <w:t>regarding enhancing financial and other controls and risk management procedures</w:t>
      </w:r>
    </w:p>
    <w:p w14:paraId="78CD6E49" w14:textId="7248279A" w:rsidR="003E4F5E" w:rsidRDefault="003E4F5E" w:rsidP="00400FAE">
      <w:pPr>
        <w:pStyle w:val="PolicyBullets"/>
        <w:spacing w:line="240" w:lineRule="auto"/>
        <w:contextualSpacing w:val="0"/>
      </w:pPr>
      <w:bookmarkStart w:id="23" w:name="_Delegated_powers_of_5"/>
      <w:bookmarkEnd w:id="23"/>
      <w:r w:rsidRPr="003E4F5E">
        <w:t>Discussing recommendations and outputs of assurance activities from third parties</w:t>
      </w:r>
      <w:r>
        <w:t>, including ESFA financial management and governance reviews, funding audits and investigations</w:t>
      </w:r>
    </w:p>
    <w:p w14:paraId="5524333C" w14:textId="519D5E90" w:rsidR="003E4F5E" w:rsidRDefault="003E4F5E" w:rsidP="00400FAE">
      <w:pPr>
        <w:pStyle w:val="PolicyBullets"/>
        <w:spacing w:line="240" w:lineRule="auto"/>
        <w:contextualSpacing w:val="0"/>
      </w:pPr>
      <w:r>
        <w:t>Agreeing the committee’s annual report to the board of trustees and the accounting officer</w:t>
      </w:r>
    </w:p>
    <w:p w14:paraId="1D41883E" w14:textId="79ECF9A7" w:rsidR="003E4F5E" w:rsidRDefault="003E4F5E" w:rsidP="00400FAE">
      <w:pPr>
        <w:pStyle w:val="PolicyBullets"/>
        <w:spacing w:line="240" w:lineRule="auto"/>
        <w:contextualSpacing w:val="0"/>
      </w:pPr>
      <w:r>
        <w:t>Re-visiting findings from external auditors and reviewing actions in response to audits</w:t>
      </w:r>
    </w:p>
    <w:p w14:paraId="13326B64" w14:textId="317A1911" w:rsidR="003E4F5E" w:rsidRDefault="003E4F5E" w:rsidP="00400FAE">
      <w:pPr>
        <w:pStyle w:val="PolicyBullets"/>
        <w:spacing w:line="240" w:lineRule="auto"/>
        <w:contextualSpacing w:val="0"/>
      </w:pPr>
      <w:r>
        <w:t>Reviewing and challenging the internal and external audit strategy</w:t>
      </w:r>
    </w:p>
    <w:p w14:paraId="34206E5A" w14:textId="25FB57FE" w:rsidR="003E4F5E" w:rsidRDefault="003E4F5E" w:rsidP="00400FAE">
      <w:pPr>
        <w:pStyle w:val="PolicyBullets"/>
        <w:spacing w:line="240" w:lineRule="auto"/>
        <w:contextualSpacing w:val="0"/>
      </w:pPr>
      <w:r>
        <w:t>Considering the committee’s own effectiveness</w:t>
      </w:r>
    </w:p>
    <w:p w14:paraId="366B821E" w14:textId="77777777" w:rsidR="00400FAE" w:rsidRPr="003E4F5E" w:rsidRDefault="00400FAE" w:rsidP="00400FAE">
      <w:pPr>
        <w:pStyle w:val="PolicyBullets"/>
        <w:numPr>
          <w:ilvl w:val="0"/>
          <w:numId w:val="0"/>
        </w:numPr>
        <w:spacing w:line="240" w:lineRule="auto"/>
        <w:ind w:left="1922"/>
        <w:contextualSpacing w:val="0"/>
      </w:pPr>
    </w:p>
    <w:p w14:paraId="39440639" w14:textId="41CF7024" w:rsidR="00A23725" w:rsidRDefault="003D0939" w:rsidP="00400FAE">
      <w:pPr>
        <w:pStyle w:val="Heading10"/>
        <w:spacing w:after="0" w:line="240" w:lineRule="auto"/>
      </w:pPr>
      <w:r>
        <w:t xml:space="preserve">Delegated powers of the </w:t>
      </w:r>
      <w:r w:rsidR="00400FAE">
        <w:t>Academy Principal</w:t>
      </w:r>
    </w:p>
    <w:p w14:paraId="21A55173" w14:textId="77777777" w:rsidR="00BE492C" w:rsidRPr="00BE492C" w:rsidRDefault="00BE492C" w:rsidP="00BE492C"/>
    <w:p w14:paraId="26FC16B4" w14:textId="1B08B5FF" w:rsidR="003D0939" w:rsidRPr="003D0939" w:rsidRDefault="003D0939" w:rsidP="00400FAE">
      <w:pPr>
        <w:pStyle w:val="TSB-Level1Numbers"/>
        <w:spacing w:after="0" w:line="240" w:lineRule="auto"/>
      </w:pPr>
      <w:r w:rsidRPr="003D0939">
        <w:t xml:space="preserve">The day-to-day financial management of the </w:t>
      </w:r>
      <w:r w:rsidR="009A5CB6">
        <w:t>trust</w:t>
      </w:r>
      <w:r w:rsidRPr="003D0939">
        <w:t xml:space="preserve"> and its staff is the responsibility of the </w:t>
      </w:r>
      <w:r w:rsidR="00400FAE">
        <w:t>Academy Principal</w:t>
      </w:r>
      <w:r w:rsidRPr="003D0939">
        <w:t xml:space="preserve"> ensuring that the arrangements for the collection of income, purchasing of goods and services, payments and academy assets are in accordance with statutory regulations. </w:t>
      </w:r>
    </w:p>
    <w:p w14:paraId="2FFFAE9D" w14:textId="5386D8F0" w:rsidR="003D0939" w:rsidRPr="00242171" w:rsidRDefault="003D0939" w:rsidP="00400FAE">
      <w:pPr>
        <w:pStyle w:val="TSB-Level1Numbers"/>
        <w:spacing w:after="0" w:line="240" w:lineRule="auto"/>
        <w:rPr>
          <w:bCs/>
          <w:color w:val="000000" w:themeColor="text1"/>
        </w:rPr>
      </w:pPr>
      <w:r w:rsidRPr="003D0939">
        <w:t xml:space="preserve">The </w:t>
      </w:r>
      <w:r w:rsidR="00400FAE">
        <w:t xml:space="preserve">Academy Principal </w:t>
      </w:r>
      <w:r w:rsidRPr="003D0939">
        <w:t xml:space="preserve">will prepare and present an annual budget to the </w:t>
      </w:r>
      <w:r w:rsidR="009758BD">
        <w:rPr>
          <w:bCs/>
          <w:color w:val="000000" w:themeColor="text1"/>
        </w:rPr>
        <w:t>Finance</w:t>
      </w:r>
      <w:r w:rsidR="000B209E" w:rsidRPr="00242171">
        <w:rPr>
          <w:bCs/>
          <w:color w:val="000000" w:themeColor="text1"/>
        </w:rPr>
        <w:t xml:space="preserve"> Committee</w:t>
      </w:r>
      <w:r w:rsidRPr="00242171">
        <w:rPr>
          <w:bCs/>
          <w:color w:val="000000" w:themeColor="text1"/>
        </w:rPr>
        <w:t xml:space="preserve"> prior to the start of the year. </w:t>
      </w:r>
    </w:p>
    <w:p w14:paraId="7EDA91DA" w14:textId="0604B943" w:rsidR="003D0939" w:rsidRPr="00242171" w:rsidRDefault="0034320E" w:rsidP="00400FAE">
      <w:pPr>
        <w:pStyle w:val="TSB-Level1Numbers"/>
        <w:spacing w:after="0" w:line="240" w:lineRule="auto"/>
        <w:rPr>
          <w:bCs/>
          <w:color w:val="000000" w:themeColor="text1"/>
        </w:rPr>
      </w:pPr>
      <w:r w:rsidRPr="00242171">
        <w:rPr>
          <w:bCs/>
          <w:color w:val="000000" w:themeColor="text1"/>
        </w:rPr>
        <w:t>Management accounts</w:t>
      </w:r>
      <w:r w:rsidR="003D0939" w:rsidRPr="00242171">
        <w:rPr>
          <w:bCs/>
          <w:color w:val="000000" w:themeColor="text1"/>
        </w:rPr>
        <w:t xml:space="preserve"> will be reviewed by the </w:t>
      </w:r>
      <w:r w:rsidR="00242171" w:rsidRPr="00242171">
        <w:rPr>
          <w:bCs/>
          <w:color w:val="000000" w:themeColor="text1"/>
        </w:rPr>
        <w:t>Academy Principal</w:t>
      </w:r>
      <w:r w:rsidR="003D0939" w:rsidRPr="00242171">
        <w:rPr>
          <w:bCs/>
          <w:color w:val="000000" w:themeColor="text1"/>
        </w:rPr>
        <w:t xml:space="preserve">, with potential overspending highlighted to the </w:t>
      </w:r>
      <w:r w:rsidR="009758BD">
        <w:rPr>
          <w:bCs/>
          <w:color w:val="000000" w:themeColor="text1"/>
        </w:rPr>
        <w:t>Finance</w:t>
      </w:r>
      <w:r w:rsidR="000B209E" w:rsidRPr="00242171">
        <w:rPr>
          <w:bCs/>
          <w:color w:val="000000" w:themeColor="text1"/>
        </w:rPr>
        <w:t xml:space="preserve"> Committee</w:t>
      </w:r>
      <w:r w:rsidR="003D0939" w:rsidRPr="00242171">
        <w:rPr>
          <w:bCs/>
          <w:color w:val="000000" w:themeColor="text1"/>
        </w:rPr>
        <w:t xml:space="preserve"> and </w:t>
      </w:r>
      <w:r w:rsidR="00B0796E" w:rsidRPr="00242171">
        <w:rPr>
          <w:bCs/>
          <w:color w:val="000000" w:themeColor="text1"/>
        </w:rPr>
        <w:t>board of trustees</w:t>
      </w:r>
      <w:r w:rsidR="003D0939" w:rsidRPr="00242171">
        <w:rPr>
          <w:bCs/>
          <w:color w:val="000000" w:themeColor="text1"/>
        </w:rPr>
        <w:t xml:space="preserve">. </w:t>
      </w:r>
    </w:p>
    <w:p w14:paraId="221A49B7" w14:textId="08C7D4FC" w:rsidR="003D0939" w:rsidRPr="00242171" w:rsidRDefault="003D0939" w:rsidP="00400FAE">
      <w:pPr>
        <w:pStyle w:val="TSB-Level1Numbers"/>
        <w:spacing w:after="0" w:line="240" w:lineRule="auto"/>
        <w:rPr>
          <w:color w:val="000000" w:themeColor="text1"/>
        </w:rPr>
      </w:pPr>
      <w:r w:rsidRPr="003D0939">
        <w:t xml:space="preserve">The </w:t>
      </w:r>
      <w:r w:rsidR="00242171">
        <w:t>Academy Principal</w:t>
      </w:r>
      <w:r w:rsidRPr="003D0939">
        <w:t xml:space="preserve"> is responsible for planning, preparing and </w:t>
      </w:r>
      <w:r w:rsidRPr="00242171">
        <w:rPr>
          <w:color w:val="000000" w:themeColor="text1"/>
        </w:rPr>
        <w:t xml:space="preserve">annually updating a three-year strategic plan in line with the </w:t>
      </w:r>
      <w:r w:rsidR="00B0796E" w:rsidRPr="00242171">
        <w:rPr>
          <w:color w:val="000000" w:themeColor="text1"/>
        </w:rPr>
        <w:t>trust</w:t>
      </w:r>
      <w:r w:rsidRPr="00242171">
        <w:rPr>
          <w:color w:val="000000" w:themeColor="text1"/>
        </w:rPr>
        <w:t xml:space="preserve">’s </w:t>
      </w:r>
      <w:r w:rsidR="00E369E6" w:rsidRPr="00242171">
        <w:rPr>
          <w:color w:val="000000" w:themeColor="text1"/>
        </w:rPr>
        <w:t>SDP</w:t>
      </w:r>
      <w:r w:rsidRPr="00242171">
        <w:rPr>
          <w:color w:val="000000" w:themeColor="text1"/>
        </w:rPr>
        <w:t xml:space="preserve">. </w:t>
      </w:r>
    </w:p>
    <w:p w14:paraId="658AAC26" w14:textId="1339DE0F" w:rsidR="003D0939" w:rsidRPr="00242171" w:rsidRDefault="003D0939" w:rsidP="00400FAE">
      <w:pPr>
        <w:pStyle w:val="TSB-Level1Numbers"/>
        <w:spacing w:after="0" w:line="240" w:lineRule="auto"/>
        <w:rPr>
          <w:color w:val="000000" w:themeColor="text1"/>
        </w:rPr>
      </w:pPr>
      <w:r w:rsidRPr="00242171">
        <w:rPr>
          <w:color w:val="000000" w:themeColor="text1"/>
        </w:rPr>
        <w:t xml:space="preserve">The </w:t>
      </w:r>
      <w:r w:rsidR="00242171" w:rsidRPr="00242171">
        <w:rPr>
          <w:color w:val="000000" w:themeColor="text1"/>
        </w:rPr>
        <w:t>Academy Principal</w:t>
      </w:r>
      <w:r w:rsidRPr="00242171">
        <w:rPr>
          <w:color w:val="000000" w:themeColor="text1"/>
        </w:rPr>
        <w:t xml:space="preserve"> is responsible for preparing a five-year capital plan for recommendation to the </w:t>
      </w:r>
      <w:r w:rsidR="00B0796E" w:rsidRPr="00242171">
        <w:rPr>
          <w:color w:val="000000" w:themeColor="text1"/>
        </w:rPr>
        <w:t>board of trustees</w:t>
      </w:r>
      <w:r w:rsidRPr="00242171">
        <w:rPr>
          <w:color w:val="000000" w:themeColor="text1"/>
        </w:rPr>
        <w:t xml:space="preserve">. </w:t>
      </w:r>
    </w:p>
    <w:p w14:paraId="13FB1043" w14:textId="1ED36040" w:rsidR="003D0939" w:rsidRPr="00242171" w:rsidRDefault="003D0939" w:rsidP="00400FAE">
      <w:pPr>
        <w:pStyle w:val="TSB-Level1Numbers"/>
        <w:spacing w:after="0" w:line="240" w:lineRule="auto"/>
        <w:rPr>
          <w:color w:val="000000" w:themeColor="text1"/>
        </w:rPr>
      </w:pPr>
      <w:r w:rsidRPr="00242171">
        <w:rPr>
          <w:color w:val="000000" w:themeColor="text1"/>
        </w:rPr>
        <w:t xml:space="preserve">The </w:t>
      </w:r>
      <w:r w:rsidR="00242171" w:rsidRPr="00242171">
        <w:rPr>
          <w:color w:val="000000" w:themeColor="text1"/>
        </w:rPr>
        <w:t>Academy Principal</w:t>
      </w:r>
      <w:r w:rsidRPr="00242171">
        <w:rPr>
          <w:color w:val="000000" w:themeColor="text1"/>
        </w:rPr>
        <w:t xml:space="preserve"> will ensure that all conflicts of interest concerning staff members with financial responsibility are declared and accurately recorded. </w:t>
      </w:r>
    </w:p>
    <w:p w14:paraId="21ABA7BE" w14:textId="2416A79B" w:rsidR="003D0939" w:rsidRPr="00242171" w:rsidRDefault="003D0939" w:rsidP="00400FAE">
      <w:pPr>
        <w:pStyle w:val="TSB-Level1Numbers"/>
        <w:spacing w:after="0" w:line="240" w:lineRule="auto"/>
        <w:rPr>
          <w:color w:val="000000" w:themeColor="text1"/>
        </w:rPr>
      </w:pPr>
      <w:r w:rsidRPr="00242171">
        <w:rPr>
          <w:color w:val="000000" w:themeColor="text1"/>
        </w:rPr>
        <w:t xml:space="preserve">The </w:t>
      </w:r>
      <w:r w:rsidR="00242171" w:rsidRPr="00242171">
        <w:rPr>
          <w:color w:val="000000" w:themeColor="text1"/>
        </w:rPr>
        <w:t>Academy Principal</w:t>
      </w:r>
      <w:r w:rsidRPr="00242171">
        <w:rPr>
          <w:color w:val="000000" w:themeColor="text1"/>
        </w:rPr>
        <w:t xml:space="preserve"> is responsible for ensuring that all </w:t>
      </w:r>
      <w:r w:rsidR="00B0796E" w:rsidRPr="00242171">
        <w:rPr>
          <w:color w:val="000000" w:themeColor="text1"/>
        </w:rPr>
        <w:t>trust</w:t>
      </w:r>
      <w:r w:rsidRPr="00242171">
        <w:rPr>
          <w:color w:val="000000" w:themeColor="text1"/>
        </w:rPr>
        <w:t xml:space="preserve"> spend</w:t>
      </w:r>
      <w:r w:rsidR="00511A5A" w:rsidRPr="00242171">
        <w:rPr>
          <w:color w:val="000000" w:themeColor="text1"/>
        </w:rPr>
        <w:t>ing</w:t>
      </w:r>
      <w:r w:rsidRPr="00242171">
        <w:rPr>
          <w:color w:val="000000" w:themeColor="text1"/>
        </w:rPr>
        <w:t xml:space="preserve"> </w:t>
      </w:r>
      <w:r w:rsidR="00511A5A" w:rsidRPr="00242171">
        <w:rPr>
          <w:color w:val="000000" w:themeColor="text1"/>
        </w:rPr>
        <w:t>is</w:t>
      </w:r>
      <w:r w:rsidRPr="00242171">
        <w:rPr>
          <w:color w:val="000000" w:themeColor="text1"/>
        </w:rPr>
        <w:t xml:space="preserve"> in accordance with the specified authorisation levels. </w:t>
      </w:r>
    </w:p>
    <w:p w14:paraId="514EEFDA" w14:textId="7651937B" w:rsidR="003D0939" w:rsidRPr="00242171" w:rsidRDefault="003D0939" w:rsidP="00400FAE">
      <w:pPr>
        <w:pStyle w:val="TSB-Level1Numbers"/>
        <w:spacing w:after="0" w:line="240" w:lineRule="auto"/>
        <w:rPr>
          <w:color w:val="000000" w:themeColor="text1"/>
        </w:rPr>
      </w:pPr>
      <w:r w:rsidRPr="00242171">
        <w:rPr>
          <w:color w:val="000000" w:themeColor="text1"/>
        </w:rPr>
        <w:t xml:space="preserve">Tenders can be opened by the </w:t>
      </w:r>
      <w:r w:rsidR="00242171" w:rsidRPr="00242171">
        <w:rPr>
          <w:color w:val="000000" w:themeColor="text1"/>
        </w:rPr>
        <w:t>Academy Principal</w:t>
      </w:r>
      <w:r w:rsidRPr="00242171">
        <w:rPr>
          <w:color w:val="000000" w:themeColor="text1"/>
        </w:rPr>
        <w:t xml:space="preserve"> when in the presence of another authorised person. </w:t>
      </w:r>
    </w:p>
    <w:p w14:paraId="5C545124" w14:textId="5FD7B460" w:rsidR="003D0939" w:rsidRPr="00242171" w:rsidRDefault="003D0939" w:rsidP="00400FAE">
      <w:pPr>
        <w:pStyle w:val="TSB-Level1Numbers"/>
        <w:spacing w:after="0" w:line="240" w:lineRule="auto"/>
        <w:rPr>
          <w:color w:val="000000" w:themeColor="text1"/>
        </w:rPr>
      </w:pPr>
      <w:bookmarkStart w:id="24" w:name="_Hlk164262668"/>
      <w:r w:rsidRPr="00242171">
        <w:rPr>
          <w:color w:val="000000" w:themeColor="text1"/>
        </w:rPr>
        <w:t xml:space="preserve">In liaison with the </w:t>
      </w:r>
      <w:r w:rsidR="00242171" w:rsidRPr="00242171">
        <w:rPr>
          <w:color w:val="000000" w:themeColor="text1"/>
        </w:rPr>
        <w:t>Business Manager</w:t>
      </w:r>
      <w:r w:rsidR="00BE492C">
        <w:rPr>
          <w:color w:val="000000" w:themeColor="text1"/>
        </w:rPr>
        <w:t>/Chief Financial Officer</w:t>
      </w:r>
      <w:r w:rsidRPr="00242171">
        <w:rPr>
          <w:color w:val="000000" w:themeColor="text1"/>
        </w:rPr>
        <w:t xml:space="preserve">, the </w:t>
      </w:r>
      <w:r w:rsidR="00242171" w:rsidRPr="00242171">
        <w:rPr>
          <w:color w:val="000000" w:themeColor="text1"/>
        </w:rPr>
        <w:t>Academy Principal</w:t>
      </w:r>
      <w:r w:rsidRPr="00242171">
        <w:rPr>
          <w:color w:val="000000" w:themeColor="text1"/>
        </w:rPr>
        <w:t xml:space="preserve"> certifies the payment of salaries each month and authorises any necessary overtime. </w:t>
      </w:r>
    </w:p>
    <w:p w14:paraId="29B9AED7" w14:textId="0E292039" w:rsidR="003D0939" w:rsidRPr="00242171" w:rsidRDefault="003D0939" w:rsidP="00400FAE">
      <w:pPr>
        <w:pStyle w:val="TSB-Level1Numbers"/>
        <w:spacing w:after="0" w:line="240" w:lineRule="auto"/>
        <w:rPr>
          <w:color w:val="000000" w:themeColor="text1"/>
        </w:rPr>
      </w:pPr>
      <w:r w:rsidRPr="00242171">
        <w:rPr>
          <w:color w:val="000000" w:themeColor="text1"/>
        </w:rPr>
        <w:t xml:space="preserve">Annual pay awards, including those in relation to non-teaching staff, will be reviewed on an annual basis by the </w:t>
      </w:r>
      <w:r w:rsidR="00242171" w:rsidRPr="00242171">
        <w:rPr>
          <w:color w:val="000000" w:themeColor="text1"/>
        </w:rPr>
        <w:t>Academy Principal</w:t>
      </w:r>
      <w:r w:rsidRPr="00242171">
        <w:rPr>
          <w:color w:val="000000" w:themeColor="text1"/>
        </w:rPr>
        <w:t xml:space="preserve"> and recommendations for approval to the </w:t>
      </w:r>
      <w:r w:rsidR="009758BD">
        <w:rPr>
          <w:color w:val="000000" w:themeColor="text1"/>
        </w:rPr>
        <w:t>Finance</w:t>
      </w:r>
      <w:r w:rsidR="000B209E" w:rsidRPr="00242171">
        <w:rPr>
          <w:color w:val="000000" w:themeColor="text1"/>
        </w:rPr>
        <w:t xml:space="preserve"> Committee</w:t>
      </w:r>
      <w:r w:rsidRPr="00242171">
        <w:rPr>
          <w:color w:val="000000" w:themeColor="text1"/>
        </w:rPr>
        <w:t xml:space="preserve"> will be made. </w:t>
      </w:r>
    </w:p>
    <w:bookmarkEnd w:id="24"/>
    <w:p w14:paraId="53754300" w14:textId="3A993B86" w:rsidR="003D0939" w:rsidRPr="00242171" w:rsidRDefault="003D0939" w:rsidP="00400FAE">
      <w:pPr>
        <w:pStyle w:val="TSB-Level1Numbers"/>
        <w:spacing w:after="0" w:line="240" w:lineRule="auto"/>
        <w:rPr>
          <w:color w:val="000000" w:themeColor="text1"/>
        </w:rPr>
      </w:pPr>
      <w:r w:rsidRPr="00242171">
        <w:rPr>
          <w:color w:val="000000" w:themeColor="text1"/>
        </w:rPr>
        <w:t xml:space="preserve">The </w:t>
      </w:r>
      <w:r w:rsidR="00242171" w:rsidRPr="00242171">
        <w:rPr>
          <w:color w:val="000000" w:themeColor="text1"/>
        </w:rPr>
        <w:t>Academy Principal</w:t>
      </w:r>
      <w:r w:rsidRPr="00242171">
        <w:rPr>
          <w:color w:val="000000" w:themeColor="text1"/>
        </w:rPr>
        <w:t xml:space="preserve"> is responsible for ensuring that full, accurate and up-to-date records are maintained in relation to the </w:t>
      </w:r>
      <w:r w:rsidR="00B0796E" w:rsidRPr="00242171">
        <w:rPr>
          <w:color w:val="000000" w:themeColor="text1"/>
        </w:rPr>
        <w:t>trust</w:t>
      </w:r>
      <w:r w:rsidRPr="00242171">
        <w:rPr>
          <w:color w:val="000000" w:themeColor="text1"/>
        </w:rPr>
        <w:t>’s finances, and that these are available for audit by the external auditor.</w:t>
      </w:r>
      <w:r w:rsidR="00390E2D" w:rsidRPr="00242171">
        <w:rPr>
          <w:color w:val="000000" w:themeColor="text1"/>
        </w:rPr>
        <w:t xml:space="preserve"> </w:t>
      </w:r>
    </w:p>
    <w:p w14:paraId="5498291F" w14:textId="4E3B656A" w:rsidR="003D0939" w:rsidRPr="00242171" w:rsidRDefault="003D0939" w:rsidP="00400FAE">
      <w:pPr>
        <w:pStyle w:val="TSB-Level1Numbers"/>
        <w:spacing w:after="0" w:line="240" w:lineRule="auto"/>
        <w:rPr>
          <w:color w:val="000000" w:themeColor="text1"/>
        </w:rPr>
      </w:pPr>
      <w:r w:rsidRPr="00242171">
        <w:rPr>
          <w:color w:val="000000" w:themeColor="text1"/>
        </w:rPr>
        <w:t xml:space="preserve">In conjunction with the </w:t>
      </w:r>
      <w:r w:rsidR="00242171" w:rsidRPr="00242171">
        <w:rPr>
          <w:color w:val="000000" w:themeColor="text1"/>
        </w:rPr>
        <w:t>Business Manager</w:t>
      </w:r>
      <w:r w:rsidR="00BE492C">
        <w:rPr>
          <w:color w:val="000000" w:themeColor="text1"/>
        </w:rPr>
        <w:t>/Chief Financial Officer</w:t>
      </w:r>
      <w:r w:rsidRPr="00242171">
        <w:rPr>
          <w:color w:val="000000" w:themeColor="text1"/>
        </w:rPr>
        <w:t xml:space="preserve"> and other authorised signatories, the </w:t>
      </w:r>
      <w:r w:rsidR="00242171" w:rsidRPr="00242171">
        <w:rPr>
          <w:color w:val="000000" w:themeColor="text1"/>
        </w:rPr>
        <w:t>Academy Principal</w:t>
      </w:r>
      <w:r w:rsidRPr="00242171">
        <w:rPr>
          <w:color w:val="000000" w:themeColor="text1"/>
        </w:rPr>
        <w:t xml:space="preserve"> is responsible for signing cheques on behalf of the </w:t>
      </w:r>
      <w:r w:rsidR="00B0796E" w:rsidRPr="00242171">
        <w:rPr>
          <w:color w:val="000000" w:themeColor="text1"/>
        </w:rPr>
        <w:t>trust</w:t>
      </w:r>
      <w:r w:rsidRPr="00242171">
        <w:rPr>
          <w:color w:val="000000" w:themeColor="text1"/>
        </w:rPr>
        <w:t xml:space="preserve">. </w:t>
      </w:r>
    </w:p>
    <w:p w14:paraId="6C6E6718" w14:textId="79BA0D3B" w:rsidR="003D0939" w:rsidRPr="00242171" w:rsidRDefault="003D0939" w:rsidP="00400FAE">
      <w:pPr>
        <w:pStyle w:val="TSB-Level1Numbers"/>
        <w:spacing w:after="0" w:line="240" w:lineRule="auto"/>
        <w:rPr>
          <w:color w:val="000000" w:themeColor="text1"/>
        </w:rPr>
      </w:pPr>
      <w:r w:rsidRPr="00242171">
        <w:rPr>
          <w:color w:val="000000" w:themeColor="text1"/>
        </w:rPr>
        <w:t xml:space="preserve">Working closely with the </w:t>
      </w:r>
      <w:r w:rsidR="00242171" w:rsidRPr="00242171">
        <w:rPr>
          <w:color w:val="000000" w:themeColor="text1"/>
        </w:rPr>
        <w:t>Business Manager</w:t>
      </w:r>
      <w:r w:rsidR="00BE492C">
        <w:rPr>
          <w:color w:val="000000" w:themeColor="text1"/>
        </w:rPr>
        <w:t>/Chief Financial Officer</w:t>
      </w:r>
      <w:r w:rsidRPr="00242171">
        <w:rPr>
          <w:color w:val="000000" w:themeColor="text1"/>
        </w:rPr>
        <w:t xml:space="preserve">, the </w:t>
      </w:r>
      <w:r w:rsidR="00242171" w:rsidRPr="00242171">
        <w:rPr>
          <w:color w:val="000000" w:themeColor="text1"/>
        </w:rPr>
        <w:t>Academy Principal</w:t>
      </w:r>
      <w:r w:rsidRPr="00242171">
        <w:rPr>
          <w:color w:val="000000" w:themeColor="text1"/>
        </w:rPr>
        <w:t xml:space="preserve"> is responsible for ensuring that the </w:t>
      </w:r>
      <w:r w:rsidR="00B0796E" w:rsidRPr="00242171">
        <w:rPr>
          <w:color w:val="000000" w:themeColor="text1"/>
        </w:rPr>
        <w:t>trust</w:t>
      </w:r>
      <w:r w:rsidRPr="00242171">
        <w:rPr>
          <w:color w:val="000000" w:themeColor="text1"/>
        </w:rPr>
        <w:t xml:space="preserve"> bank account does not become overdrawn. </w:t>
      </w:r>
    </w:p>
    <w:p w14:paraId="627605F1" w14:textId="74A15EA4" w:rsidR="003D0939" w:rsidRDefault="003D0939" w:rsidP="00400FAE">
      <w:pPr>
        <w:pStyle w:val="TSB-Level1Numbers"/>
        <w:spacing w:after="0" w:line="240" w:lineRule="auto"/>
      </w:pPr>
      <w:r w:rsidRPr="00242171">
        <w:rPr>
          <w:color w:val="000000" w:themeColor="text1"/>
        </w:rPr>
        <w:t xml:space="preserve">In liaison with the </w:t>
      </w:r>
      <w:r w:rsidR="00242171" w:rsidRPr="00242171">
        <w:rPr>
          <w:color w:val="000000" w:themeColor="text1"/>
        </w:rPr>
        <w:t>Business Manager</w:t>
      </w:r>
      <w:r w:rsidR="00BE492C">
        <w:rPr>
          <w:color w:val="000000" w:themeColor="text1"/>
        </w:rPr>
        <w:t>/Chief Financial Officer</w:t>
      </w:r>
      <w:r w:rsidRPr="00242171">
        <w:rPr>
          <w:color w:val="000000" w:themeColor="text1"/>
        </w:rPr>
        <w:t xml:space="preserve">, the </w:t>
      </w:r>
      <w:r w:rsidR="00242171" w:rsidRPr="00242171">
        <w:rPr>
          <w:color w:val="000000" w:themeColor="text1"/>
        </w:rPr>
        <w:t>Academy Principal</w:t>
      </w:r>
      <w:r w:rsidRPr="00242171">
        <w:rPr>
          <w:color w:val="000000" w:themeColor="text1"/>
        </w:rPr>
        <w:t xml:space="preserve"> will ensure that all staff members with access to the </w:t>
      </w:r>
      <w:r w:rsidR="00B0796E" w:rsidRPr="00242171">
        <w:rPr>
          <w:color w:val="000000" w:themeColor="text1"/>
        </w:rPr>
        <w:t>trust</w:t>
      </w:r>
      <w:r w:rsidRPr="00242171">
        <w:rPr>
          <w:color w:val="000000" w:themeColor="text1"/>
        </w:rPr>
        <w:t>’s online banking have the ap</w:t>
      </w:r>
      <w:r w:rsidRPr="003D0939">
        <w:t xml:space="preserve">propriate level of authority and that the correct procedures are followed. </w:t>
      </w:r>
    </w:p>
    <w:p w14:paraId="5C936E83" w14:textId="77777777" w:rsidR="00242171" w:rsidRPr="003D0939" w:rsidRDefault="00242171" w:rsidP="00242171">
      <w:pPr>
        <w:pStyle w:val="TSB-Level1Numbers"/>
        <w:numPr>
          <w:ilvl w:val="0"/>
          <w:numId w:val="0"/>
        </w:numPr>
        <w:spacing w:after="0" w:line="240" w:lineRule="auto"/>
        <w:ind w:left="1480"/>
      </w:pPr>
    </w:p>
    <w:p w14:paraId="01AF8045" w14:textId="28969DE6" w:rsidR="00A23725" w:rsidRDefault="003D0939" w:rsidP="00400FAE">
      <w:pPr>
        <w:pStyle w:val="Heading10"/>
        <w:spacing w:after="0" w:line="240" w:lineRule="auto"/>
      </w:pPr>
      <w:bookmarkStart w:id="25" w:name="_Delegated_powers_of_6"/>
      <w:bookmarkStart w:id="26" w:name="Subsection4"/>
      <w:bookmarkEnd w:id="25"/>
      <w:r>
        <w:t xml:space="preserve">Delegated powers of the </w:t>
      </w:r>
      <w:r w:rsidR="00242171">
        <w:t>Business Manager</w:t>
      </w:r>
      <w:r w:rsidR="00BE492C">
        <w:t>/Chief Financial Officer</w:t>
      </w:r>
    </w:p>
    <w:p w14:paraId="0DE4512A" w14:textId="77777777" w:rsidR="00711625" w:rsidRPr="00711625" w:rsidRDefault="00711625" w:rsidP="00711625"/>
    <w:p w14:paraId="4451C6E4" w14:textId="13F413FA" w:rsidR="003D0939" w:rsidRPr="00B72FBA" w:rsidRDefault="003D0939" w:rsidP="00400FAE">
      <w:pPr>
        <w:pStyle w:val="TSB-Level1Numbers"/>
        <w:spacing w:after="0" w:line="240" w:lineRule="auto"/>
      </w:pPr>
      <w:r w:rsidRPr="00B72FBA">
        <w:t xml:space="preserve">The </w:t>
      </w:r>
      <w:r w:rsidR="00711625">
        <w:t>Business Manager/Chief Financial Officer</w:t>
      </w:r>
      <w:r w:rsidRPr="00B72FBA">
        <w:t xml:space="preserve"> is responsible for the management of the </w:t>
      </w:r>
      <w:r w:rsidR="00B0796E">
        <w:t>trust</w:t>
      </w:r>
      <w:r w:rsidRPr="00B72FBA">
        <w:t>’s financial position at a strategic and operational level within the framework of financial control, as determined by the</w:t>
      </w:r>
      <w:r w:rsidR="00B0796E">
        <w:t xml:space="preserve"> board of</w:t>
      </w:r>
      <w:r w:rsidRPr="00B72FBA">
        <w:t xml:space="preserve"> </w:t>
      </w:r>
      <w:r w:rsidR="00B0796E">
        <w:t>trustees</w:t>
      </w:r>
      <w:r w:rsidRPr="00B72FBA">
        <w:t xml:space="preserve">, maintaining effective systems of internal control within the trust. </w:t>
      </w:r>
    </w:p>
    <w:p w14:paraId="1047E063" w14:textId="768FE439" w:rsidR="003D0939" w:rsidRPr="003D0939" w:rsidRDefault="003D0939" w:rsidP="00400FAE">
      <w:pPr>
        <w:pStyle w:val="TSB-Level1Numbers"/>
        <w:spacing w:after="0" w:line="240" w:lineRule="auto"/>
      </w:pPr>
      <w:r w:rsidRPr="003D0939">
        <w:t xml:space="preserve">The </w:t>
      </w:r>
      <w:r w:rsidR="00711625">
        <w:t>Business Manager/Chief Financial Officer</w:t>
      </w:r>
      <w:r w:rsidRPr="003D0939">
        <w:t xml:space="preserve"> works closely with the </w:t>
      </w:r>
      <w:r w:rsidR="00242171">
        <w:t>Academy Principal</w:t>
      </w:r>
      <w:r w:rsidRPr="003D0939">
        <w:t xml:space="preserve"> to ensure efficient and effective day-to-day management of the </w:t>
      </w:r>
      <w:r w:rsidR="00B0796E">
        <w:t>trust</w:t>
      </w:r>
      <w:r w:rsidRPr="003D0939">
        <w:t xml:space="preserve">’s finances, liaising with the </w:t>
      </w:r>
      <w:r w:rsidR="009758BD">
        <w:rPr>
          <w:bCs/>
          <w:color w:val="000000" w:themeColor="text1"/>
        </w:rPr>
        <w:t>Finance</w:t>
      </w:r>
      <w:r w:rsidR="00CD45C2" w:rsidRPr="00CD45C2">
        <w:rPr>
          <w:bCs/>
          <w:color w:val="000000" w:themeColor="text1"/>
        </w:rPr>
        <w:t xml:space="preserve"> C</w:t>
      </w:r>
      <w:r w:rsidR="00ED04DD" w:rsidRPr="00CD45C2">
        <w:rPr>
          <w:bCs/>
          <w:color w:val="000000" w:themeColor="text1"/>
        </w:rPr>
        <w:t>ommittee</w:t>
      </w:r>
      <w:r w:rsidRPr="00CD45C2">
        <w:rPr>
          <w:bCs/>
          <w:color w:val="000000" w:themeColor="text1"/>
        </w:rPr>
        <w:t xml:space="preserve"> </w:t>
      </w:r>
      <w:r w:rsidRPr="003D0939">
        <w:t xml:space="preserve">and </w:t>
      </w:r>
      <w:r w:rsidR="00B0796E">
        <w:t>board of trustees</w:t>
      </w:r>
      <w:r w:rsidRPr="003D0939">
        <w:t xml:space="preserve"> as appropriate.</w:t>
      </w:r>
      <w:r w:rsidR="00390E2D">
        <w:t xml:space="preserve"> </w:t>
      </w:r>
    </w:p>
    <w:p w14:paraId="3077FB5A" w14:textId="3F5D708A" w:rsidR="003D0939" w:rsidRPr="003D0939" w:rsidRDefault="003D0939" w:rsidP="00400FAE">
      <w:pPr>
        <w:pStyle w:val="TSB-Level1Numbers"/>
        <w:spacing w:after="0" w:line="240" w:lineRule="auto"/>
      </w:pPr>
      <w:r w:rsidRPr="003D0939">
        <w:t xml:space="preserve">The </w:t>
      </w:r>
      <w:r w:rsidR="00711625">
        <w:t>Business Manager/Chief Financial Officer</w:t>
      </w:r>
      <w:r w:rsidRPr="003D0939">
        <w:t xml:space="preserve"> is responsible for ensuring there </w:t>
      </w:r>
      <w:r w:rsidR="00736AEC">
        <w:t>is an</w:t>
      </w:r>
      <w:r w:rsidR="00736AEC" w:rsidRPr="003D0939">
        <w:t xml:space="preserve"> </w:t>
      </w:r>
      <w:r w:rsidRPr="003D0939">
        <w:t>appropriate division of duties between staff responsible for processing orders, receiving deliveries and processing payments.</w:t>
      </w:r>
    </w:p>
    <w:p w14:paraId="05F266D1" w14:textId="39DF1B01" w:rsidR="003D0939" w:rsidRPr="003D0939" w:rsidRDefault="003D0939" w:rsidP="00400FAE">
      <w:pPr>
        <w:pStyle w:val="TSB-Level1Numbers"/>
        <w:spacing w:after="0" w:line="240" w:lineRule="auto"/>
      </w:pPr>
      <w:r w:rsidRPr="003D0939">
        <w:t xml:space="preserve">The </w:t>
      </w:r>
      <w:r w:rsidR="00711625">
        <w:t>Business Manager/Chief Financial Officer</w:t>
      </w:r>
      <w:r w:rsidRPr="003D0939">
        <w:t xml:space="preserve"> is responsible for ensuring that </w:t>
      </w:r>
      <w:r w:rsidR="006E5FCA">
        <w:t xml:space="preserve">all </w:t>
      </w:r>
      <w:r w:rsidRPr="003D0939">
        <w:t xml:space="preserve">required information and documentation is submitted to the DfE and ESFA in line with the specified deadlines. </w:t>
      </w:r>
    </w:p>
    <w:p w14:paraId="3F5F1F77" w14:textId="27C95C7F" w:rsidR="003D0939" w:rsidRPr="003D0939" w:rsidRDefault="003D0939" w:rsidP="00400FAE">
      <w:pPr>
        <w:pStyle w:val="TSB-Level1Numbers"/>
        <w:spacing w:after="0" w:line="240" w:lineRule="auto"/>
      </w:pPr>
      <w:r w:rsidRPr="003D0939">
        <w:t xml:space="preserve">The </w:t>
      </w:r>
      <w:r w:rsidR="00711625">
        <w:t>Business Manager/Chief Financial Officer</w:t>
      </w:r>
      <w:r w:rsidRPr="003D0939">
        <w:t xml:space="preserve"> is responsible for ensuring that all income is accurately accounted for and is promptly collected and banked. </w:t>
      </w:r>
    </w:p>
    <w:p w14:paraId="3F46F345" w14:textId="10B63A73" w:rsidR="003D0939" w:rsidRPr="003D0939" w:rsidRDefault="003D0939" w:rsidP="00400FAE">
      <w:pPr>
        <w:pStyle w:val="TSB-Level1Numbers"/>
        <w:spacing w:after="0" w:line="240" w:lineRule="auto"/>
      </w:pPr>
      <w:r w:rsidRPr="003D0939">
        <w:t xml:space="preserve">The </w:t>
      </w:r>
      <w:r w:rsidR="00711625">
        <w:t>Business Manager/Chief Financial Officer</w:t>
      </w:r>
      <w:r w:rsidRPr="003D0939">
        <w:t xml:space="preserve"> will assist the </w:t>
      </w:r>
      <w:r w:rsidR="00242171">
        <w:t>Academy Principal</w:t>
      </w:r>
      <w:r w:rsidRPr="003D0939">
        <w:t xml:space="preserve"> in preparing and presenting an annual budget to the </w:t>
      </w:r>
      <w:r w:rsidR="009758BD">
        <w:rPr>
          <w:bCs/>
          <w:color w:val="000000" w:themeColor="text1"/>
        </w:rPr>
        <w:t>Finance</w:t>
      </w:r>
      <w:r w:rsidR="00CD45C2" w:rsidRPr="00CD45C2">
        <w:rPr>
          <w:bCs/>
          <w:color w:val="000000" w:themeColor="text1"/>
        </w:rPr>
        <w:t xml:space="preserve"> Committee </w:t>
      </w:r>
      <w:r w:rsidRPr="003D0939">
        <w:t>prior to the start of the year.</w:t>
      </w:r>
    </w:p>
    <w:p w14:paraId="1FEF6C25" w14:textId="77AAD580" w:rsidR="003D0939" w:rsidRPr="003D0939" w:rsidRDefault="003D0939" w:rsidP="00400FAE">
      <w:pPr>
        <w:pStyle w:val="TSB-Level1Numbers"/>
        <w:spacing w:after="0" w:line="240" w:lineRule="auto"/>
      </w:pPr>
      <w:r w:rsidRPr="003D0939">
        <w:t xml:space="preserve">In liaison with the </w:t>
      </w:r>
      <w:r w:rsidR="00242171">
        <w:t>Academy Principal</w:t>
      </w:r>
      <w:r w:rsidRPr="003D0939">
        <w:t xml:space="preserve">, the </w:t>
      </w:r>
      <w:r w:rsidR="00711625">
        <w:t>Business Manager/Chief Financial Officer</w:t>
      </w:r>
      <w:r w:rsidRPr="003D0939">
        <w:t xml:space="preserve"> certifies the payment of salaries each month and authorises any necessary overtime</w:t>
      </w:r>
      <w:r w:rsidR="001635B2">
        <w:t xml:space="preserve"> in accordance with the trust’s </w:t>
      </w:r>
      <w:r w:rsidR="00E36C9F">
        <w:t xml:space="preserve">agreed </w:t>
      </w:r>
      <w:r w:rsidR="001635B2">
        <w:t>policy</w:t>
      </w:r>
      <w:r w:rsidRPr="003D0939">
        <w:t>.</w:t>
      </w:r>
    </w:p>
    <w:p w14:paraId="3F148542" w14:textId="3809AC70" w:rsidR="003D0939" w:rsidRPr="003D0939" w:rsidRDefault="003D0939" w:rsidP="00400FAE">
      <w:pPr>
        <w:pStyle w:val="TSB-Level1Numbers"/>
        <w:spacing w:after="0" w:line="240" w:lineRule="auto"/>
      </w:pPr>
      <w:r w:rsidRPr="003D0939">
        <w:t xml:space="preserve">The </w:t>
      </w:r>
      <w:r w:rsidR="00711625">
        <w:t>Business Manager/Chief Financial Officer</w:t>
      </w:r>
      <w:r w:rsidRPr="003D0939">
        <w:t xml:space="preserve"> is responsible for notifying the payroll provider of any matters affecting payments to employees. </w:t>
      </w:r>
    </w:p>
    <w:p w14:paraId="11490933" w14:textId="55334253" w:rsidR="003D0939" w:rsidRPr="003D0939" w:rsidRDefault="003D0939" w:rsidP="00400FAE">
      <w:pPr>
        <w:pStyle w:val="TSB-Level1Numbers"/>
        <w:spacing w:after="0" w:line="240" w:lineRule="auto"/>
      </w:pPr>
      <w:r w:rsidRPr="003D0939">
        <w:t xml:space="preserve">Working alongside the </w:t>
      </w:r>
      <w:r w:rsidR="00242171">
        <w:t>Academy Principal</w:t>
      </w:r>
      <w:r w:rsidRPr="003D0939">
        <w:t xml:space="preserve">, the </w:t>
      </w:r>
      <w:r w:rsidR="00711625">
        <w:t>Business Manager/Chief Financial Officer</w:t>
      </w:r>
      <w:r w:rsidRPr="003D0939">
        <w:t xml:space="preserve"> will assist in preparing an annual draft budget for consideration by the </w:t>
      </w:r>
      <w:r w:rsidR="009758BD">
        <w:rPr>
          <w:bCs/>
          <w:color w:val="000000" w:themeColor="text1"/>
        </w:rPr>
        <w:t>Finance</w:t>
      </w:r>
      <w:r w:rsidR="00CD45C2" w:rsidRPr="00CD45C2">
        <w:rPr>
          <w:bCs/>
          <w:color w:val="000000" w:themeColor="text1"/>
        </w:rPr>
        <w:t xml:space="preserve"> Committee </w:t>
      </w:r>
      <w:r w:rsidRPr="003D0939">
        <w:t xml:space="preserve">and </w:t>
      </w:r>
      <w:r w:rsidR="00B0796E">
        <w:t>board of trustees</w:t>
      </w:r>
      <w:r w:rsidRPr="003D0939">
        <w:t xml:space="preserve"> prior to the start of the academic year. </w:t>
      </w:r>
    </w:p>
    <w:p w14:paraId="166A17BB" w14:textId="433C9D41" w:rsidR="00410466" w:rsidRDefault="00410466" w:rsidP="00400FAE">
      <w:pPr>
        <w:pStyle w:val="TSB-Level1Numbers"/>
        <w:spacing w:after="0" w:line="240" w:lineRule="auto"/>
      </w:pPr>
      <w:r>
        <w:t xml:space="preserve">Management accounts </w:t>
      </w:r>
      <w:r w:rsidR="007A0E14">
        <w:t xml:space="preserve">are shared with the chair of trustees </w:t>
      </w:r>
      <w:proofErr w:type="gramStart"/>
      <w:r w:rsidR="007A0E14">
        <w:t>on a monthly basis</w:t>
      </w:r>
      <w:proofErr w:type="gramEnd"/>
      <w:r w:rsidR="007A0E14">
        <w:t xml:space="preserve"> and with other trustees a</w:t>
      </w:r>
      <w:r w:rsidR="001635B2">
        <w:t>t least six times a year</w:t>
      </w:r>
      <w:r w:rsidR="007A0E14">
        <w:t>.</w:t>
      </w:r>
    </w:p>
    <w:p w14:paraId="74C14BFA" w14:textId="7F75C5B5" w:rsidR="007A0E14" w:rsidRDefault="007A0E14" w:rsidP="00400FAE">
      <w:pPr>
        <w:pStyle w:val="TSB-Level1Numbers"/>
        <w:spacing w:after="0" w:line="240" w:lineRule="auto"/>
      </w:pPr>
      <w:r>
        <w:t xml:space="preserve">If </w:t>
      </w:r>
      <w:r w:rsidR="009A5CB6">
        <w:t>the trust</w:t>
      </w:r>
      <w:r>
        <w:t xml:space="preserve"> is served a Financial Notice to Improve (</w:t>
      </w:r>
      <w:proofErr w:type="spellStart"/>
      <w:r>
        <w:t>FNtI</w:t>
      </w:r>
      <w:proofErr w:type="spellEnd"/>
      <w:r>
        <w:t xml:space="preserve">) by the ESFA, the </w:t>
      </w:r>
      <w:r w:rsidR="00711625">
        <w:t>Business Manager/Chief Financial Officer</w:t>
      </w:r>
      <w:r>
        <w:t xml:space="preserve"> will publish this to the </w:t>
      </w:r>
      <w:r w:rsidR="00B0796E">
        <w:t>trust</w:t>
      </w:r>
      <w:r>
        <w:t xml:space="preserve">’s website within 14 days of the </w:t>
      </w:r>
      <w:proofErr w:type="spellStart"/>
      <w:r>
        <w:t>FNtI</w:t>
      </w:r>
      <w:proofErr w:type="spellEnd"/>
      <w:r>
        <w:t xml:space="preserve"> being issued, and it will be kept on site until the ESFA lift the notice.</w:t>
      </w:r>
    </w:p>
    <w:p w14:paraId="33C1EE16" w14:textId="6EBA7393" w:rsidR="007A0E14" w:rsidRPr="003D0939" w:rsidRDefault="007A0E14" w:rsidP="00400FAE">
      <w:pPr>
        <w:pStyle w:val="TSB-Level1Numbers"/>
        <w:spacing w:after="0" w:line="240" w:lineRule="auto"/>
      </w:pPr>
      <w:r>
        <w:t xml:space="preserve">The </w:t>
      </w:r>
      <w:r w:rsidR="00711625">
        <w:t>Business Manager/Chief Financial Officer</w:t>
      </w:r>
      <w:r>
        <w:t xml:space="preserve"> is responsible for maintaining the </w:t>
      </w:r>
      <w:r w:rsidR="00B0796E">
        <w:t>trust’s</w:t>
      </w:r>
      <w:r w:rsidR="0034320E">
        <w:t xml:space="preserve"> asset and risk registers. </w:t>
      </w:r>
    </w:p>
    <w:p w14:paraId="2C6F762C" w14:textId="0D780A8A" w:rsidR="003D0939" w:rsidRPr="003D0939" w:rsidRDefault="003D0939" w:rsidP="00400FAE">
      <w:pPr>
        <w:pStyle w:val="TSB-Level1Numbers"/>
        <w:spacing w:after="0" w:line="240" w:lineRule="auto"/>
      </w:pPr>
      <w:r w:rsidRPr="003D0939">
        <w:t xml:space="preserve">In conjunction with the </w:t>
      </w:r>
      <w:r w:rsidR="00242171">
        <w:t>Academy Principal</w:t>
      </w:r>
      <w:r w:rsidRPr="003D0939">
        <w:t xml:space="preserve"> and other authorised signatories, the </w:t>
      </w:r>
      <w:r w:rsidR="00711625">
        <w:t>Business Manager/Chief Financial Officer</w:t>
      </w:r>
      <w:r w:rsidRPr="003D0939">
        <w:t xml:space="preserve"> is responsible for signing cheques on behalf of the </w:t>
      </w:r>
      <w:r w:rsidR="00B0796E">
        <w:t>trust</w:t>
      </w:r>
      <w:r w:rsidRPr="003D0939">
        <w:t xml:space="preserve">. </w:t>
      </w:r>
    </w:p>
    <w:p w14:paraId="4B154E79" w14:textId="3350297C" w:rsidR="003D0939" w:rsidRPr="003D0939" w:rsidRDefault="003D0939" w:rsidP="00400FAE">
      <w:pPr>
        <w:pStyle w:val="TSB-Level1Numbers"/>
        <w:spacing w:after="0" w:line="240" w:lineRule="auto"/>
      </w:pPr>
      <w:r w:rsidRPr="003D0939">
        <w:t xml:space="preserve">The </w:t>
      </w:r>
      <w:r w:rsidR="00711625">
        <w:t>Business Manager/Chief Financial Officer</w:t>
      </w:r>
      <w:r w:rsidRPr="003D0939">
        <w:t xml:space="preserve"> is responsible for maintaining a record of all contracts </w:t>
      </w:r>
      <w:proofErr w:type="gramStart"/>
      <w:r w:rsidRPr="003D0939">
        <w:t>entered into</w:t>
      </w:r>
      <w:proofErr w:type="gramEnd"/>
      <w:r w:rsidRPr="003D0939">
        <w:t xml:space="preserve"> by the </w:t>
      </w:r>
      <w:r w:rsidR="00B0796E">
        <w:t>trust</w:t>
      </w:r>
      <w:r w:rsidRPr="003D0939">
        <w:t xml:space="preserve">, including details of payments, quotes obtained </w:t>
      </w:r>
      <w:r w:rsidR="009758BD">
        <w:rPr>
          <w:bCs/>
          <w:color w:val="000000" w:themeColor="text1"/>
        </w:rPr>
        <w:t>Finance</w:t>
      </w:r>
      <w:r w:rsidR="00CD45C2" w:rsidRPr="00CD45C2">
        <w:rPr>
          <w:bCs/>
          <w:color w:val="000000" w:themeColor="text1"/>
        </w:rPr>
        <w:t xml:space="preserve"> Committee </w:t>
      </w:r>
      <w:r w:rsidR="00CD45C2" w:rsidRPr="003D0939">
        <w:t xml:space="preserve">on purchasing decisions. </w:t>
      </w:r>
      <w:r w:rsidRPr="003D0939">
        <w:t xml:space="preserve">and invoices received. </w:t>
      </w:r>
    </w:p>
    <w:p w14:paraId="0B7065A8" w14:textId="2CA1F9FA" w:rsidR="003D0939" w:rsidRDefault="003D0939" w:rsidP="00400FAE">
      <w:pPr>
        <w:pStyle w:val="TSB-Level1Numbers"/>
        <w:spacing w:after="0" w:line="240" w:lineRule="auto"/>
      </w:pPr>
      <w:r w:rsidRPr="003D0939">
        <w:t xml:space="preserve">Where appropriate, the </w:t>
      </w:r>
      <w:r w:rsidR="00711625">
        <w:t>Business Manager/Chief Financial Officer</w:t>
      </w:r>
      <w:r w:rsidRPr="003D0939">
        <w:t xml:space="preserve"> will advise the </w:t>
      </w:r>
      <w:r w:rsidR="00242171">
        <w:t>Academy Principal</w:t>
      </w:r>
      <w:r w:rsidRPr="003D0939">
        <w:t xml:space="preserve"> and the </w:t>
      </w:r>
      <w:r w:rsidR="009758BD">
        <w:t>Finance</w:t>
      </w:r>
      <w:r w:rsidR="00711625">
        <w:t xml:space="preserve"> Committee.</w:t>
      </w:r>
    </w:p>
    <w:p w14:paraId="63512D0D" w14:textId="77777777" w:rsidR="00242171" w:rsidRPr="003D0939" w:rsidRDefault="00242171" w:rsidP="00242171">
      <w:pPr>
        <w:pStyle w:val="TSB-Level1Numbers"/>
        <w:numPr>
          <w:ilvl w:val="0"/>
          <w:numId w:val="0"/>
        </w:numPr>
        <w:spacing w:after="0" w:line="240" w:lineRule="auto"/>
        <w:ind w:left="1480"/>
      </w:pPr>
    </w:p>
    <w:p w14:paraId="44D87616" w14:textId="46A9B95F" w:rsidR="00A23725" w:rsidRDefault="00AC0364" w:rsidP="00400FAE">
      <w:pPr>
        <w:pStyle w:val="Heading10"/>
        <w:spacing w:after="0" w:line="240" w:lineRule="auto"/>
      </w:pPr>
      <w:bookmarkStart w:id="27" w:name="Otherschoolstaff"/>
      <w:bookmarkStart w:id="28" w:name="Subsection5"/>
      <w:bookmarkEnd w:id="26"/>
      <w:r>
        <w:t>Delegated powers of other school staff</w:t>
      </w:r>
    </w:p>
    <w:p w14:paraId="2DB8CB45" w14:textId="77777777" w:rsidR="00711625" w:rsidRPr="00711625" w:rsidRDefault="00711625" w:rsidP="00711625"/>
    <w:bookmarkEnd w:id="27"/>
    <w:p w14:paraId="01CB3122" w14:textId="0D7720F8" w:rsidR="00AC0364" w:rsidRPr="00AC0364" w:rsidRDefault="00AC0364" w:rsidP="00400FAE">
      <w:pPr>
        <w:numPr>
          <w:ilvl w:val="1"/>
          <w:numId w:val="26"/>
        </w:numPr>
        <w:tabs>
          <w:tab w:val="num" w:pos="360"/>
        </w:tabs>
        <w:spacing w:after="0" w:line="240" w:lineRule="auto"/>
        <w:ind w:left="1480" w:hanging="482"/>
        <w:jc w:val="both"/>
        <w:outlineLvl w:val="0"/>
        <w:rPr>
          <w:rFonts w:asciiTheme="majorHAnsi" w:hAnsiTheme="majorHAnsi" w:cstheme="minorHAnsi"/>
          <w:szCs w:val="32"/>
        </w:rPr>
      </w:pPr>
      <w:r w:rsidRPr="00AC0364">
        <w:rPr>
          <w:rFonts w:asciiTheme="majorHAnsi" w:hAnsiTheme="majorHAnsi" w:cstheme="minorHAnsi"/>
          <w:szCs w:val="32"/>
        </w:rPr>
        <w:t xml:space="preserve">Designated staff members will be delegated financial responsibility </w:t>
      </w:r>
      <w:proofErr w:type="gramStart"/>
      <w:r w:rsidRPr="00AC0364">
        <w:rPr>
          <w:rFonts w:asciiTheme="majorHAnsi" w:hAnsiTheme="majorHAnsi" w:cstheme="minorHAnsi"/>
          <w:szCs w:val="32"/>
        </w:rPr>
        <w:t>in order to</w:t>
      </w:r>
      <w:proofErr w:type="gramEnd"/>
      <w:r w:rsidRPr="00AC0364">
        <w:rPr>
          <w:rFonts w:asciiTheme="majorHAnsi" w:hAnsiTheme="majorHAnsi" w:cstheme="minorHAnsi"/>
          <w:szCs w:val="32"/>
        </w:rPr>
        <w:t xml:space="preserve"> support the </w:t>
      </w:r>
      <w:r w:rsidR="00242171">
        <w:rPr>
          <w:rFonts w:asciiTheme="majorHAnsi" w:hAnsiTheme="majorHAnsi" w:cstheme="minorHAnsi"/>
          <w:szCs w:val="32"/>
        </w:rPr>
        <w:t>Academy Principal</w:t>
      </w:r>
      <w:r w:rsidRPr="00AC0364">
        <w:rPr>
          <w:rFonts w:asciiTheme="majorHAnsi" w:hAnsiTheme="majorHAnsi" w:cstheme="minorHAnsi"/>
          <w:szCs w:val="32"/>
        </w:rPr>
        <w:t xml:space="preserve"> with the maintenance of the financial controls and procedures in operation at the </w:t>
      </w:r>
      <w:r w:rsidR="00B0796E">
        <w:rPr>
          <w:rFonts w:asciiTheme="majorHAnsi" w:hAnsiTheme="majorHAnsi" w:cstheme="minorHAnsi"/>
          <w:szCs w:val="32"/>
        </w:rPr>
        <w:t>trust</w:t>
      </w:r>
      <w:r w:rsidRPr="00AC0364">
        <w:rPr>
          <w:rFonts w:asciiTheme="majorHAnsi" w:hAnsiTheme="majorHAnsi" w:cstheme="minorHAnsi"/>
          <w:szCs w:val="32"/>
        </w:rPr>
        <w:t xml:space="preserve">. </w:t>
      </w:r>
    </w:p>
    <w:p w14:paraId="6B289933" w14:textId="77777777" w:rsidR="00AC0364" w:rsidRPr="00AC0364" w:rsidRDefault="00AC0364" w:rsidP="00400FAE">
      <w:pPr>
        <w:numPr>
          <w:ilvl w:val="1"/>
          <w:numId w:val="26"/>
        </w:numPr>
        <w:tabs>
          <w:tab w:val="num" w:pos="360"/>
        </w:tabs>
        <w:spacing w:after="0" w:line="240" w:lineRule="auto"/>
        <w:ind w:left="1480" w:hanging="482"/>
        <w:jc w:val="both"/>
        <w:outlineLvl w:val="0"/>
        <w:rPr>
          <w:rFonts w:asciiTheme="majorHAnsi" w:hAnsiTheme="majorHAnsi" w:cstheme="minorHAnsi"/>
          <w:szCs w:val="32"/>
        </w:rPr>
      </w:pPr>
      <w:r w:rsidRPr="00AC0364">
        <w:rPr>
          <w:rFonts w:asciiTheme="majorHAnsi" w:hAnsiTheme="majorHAnsi" w:cstheme="minorHAnsi"/>
          <w:szCs w:val="32"/>
        </w:rPr>
        <w:t xml:space="preserve">Staff members with financial responsibility are aware of the financial regulations which they must act in accordance with. </w:t>
      </w:r>
    </w:p>
    <w:p w14:paraId="0F8A2E0C" w14:textId="76B598FF" w:rsidR="00AC0364" w:rsidRPr="00AC0364" w:rsidRDefault="00AC0364" w:rsidP="00400FAE">
      <w:pPr>
        <w:numPr>
          <w:ilvl w:val="1"/>
          <w:numId w:val="26"/>
        </w:numPr>
        <w:tabs>
          <w:tab w:val="num" w:pos="360"/>
        </w:tabs>
        <w:spacing w:after="0" w:line="240" w:lineRule="auto"/>
        <w:ind w:left="1480" w:hanging="482"/>
        <w:jc w:val="both"/>
        <w:outlineLvl w:val="0"/>
        <w:rPr>
          <w:rFonts w:asciiTheme="majorHAnsi" w:hAnsiTheme="majorHAnsi" w:cstheme="minorHAnsi"/>
          <w:szCs w:val="32"/>
        </w:rPr>
      </w:pPr>
      <w:r w:rsidRPr="00AC0364">
        <w:rPr>
          <w:rFonts w:asciiTheme="majorHAnsi" w:hAnsiTheme="majorHAnsi" w:cstheme="minorHAnsi"/>
          <w:szCs w:val="32"/>
        </w:rPr>
        <w:t xml:space="preserve">The following members of staff are authorised to receive and check goods on behalf of the </w:t>
      </w:r>
      <w:r w:rsidR="00B0796E">
        <w:rPr>
          <w:rFonts w:asciiTheme="majorHAnsi" w:hAnsiTheme="majorHAnsi" w:cstheme="minorHAnsi"/>
          <w:szCs w:val="32"/>
        </w:rPr>
        <w:t>trust</w:t>
      </w:r>
      <w:r w:rsidRPr="00AC0364">
        <w:rPr>
          <w:rFonts w:asciiTheme="majorHAnsi" w:hAnsiTheme="majorHAnsi" w:cstheme="minorHAnsi"/>
          <w:szCs w:val="32"/>
        </w:rPr>
        <w:t>:</w:t>
      </w:r>
    </w:p>
    <w:p w14:paraId="431537C9" w14:textId="77777777" w:rsidR="00AC0364" w:rsidRPr="00AC0364" w:rsidRDefault="00AC0364" w:rsidP="00400FAE">
      <w:pPr>
        <w:pStyle w:val="PolicyBullets"/>
        <w:spacing w:line="240" w:lineRule="auto"/>
        <w:jc w:val="both"/>
      </w:pPr>
      <w:r w:rsidRPr="00AC0364">
        <w:t>Budget holders</w:t>
      </w:r>
    </w:p>
    <w:p w14:paraId="2009E10E" w14:textId="77777777" w:rsidR="00AC0364" w:rsidRPr="00AC0364" w:rsidRDefault="00AC0364" w:rsidP="00400FAE">
      <w:pPr>
        <w:pStyle w:val="PolicyBullets"/>
        <w:spacing w:line="240" w:lineRule="auto"/>
        <w:jc w:val="both"/>
      </w:pPr>
      <w:r w:rsidRPr="00AC0364">
        <w:t>Administrators nominated by the budget holder</w:t>
      </w:r>
    </w:p>
    <w:p w14:paraId="360B910E" w14:textId="4D03D3B6" w:rsidR="00AC0364" w:rsidRPr="00CD45C2" w:rsidRDefault="00AC0364" w:rsidP="00400FAE">
      <w:pPr>
        <w:numPr>
          <w:ilvl w:val="1"/>
          <w:numId w:val="26"/>
        </w:numPr>
        <w:tabs>
          <w:tab w:val="num" w:pos="360"/>
        </w:tabs>
        <w:spacing w:after="0" w:line="240" w:lineRule="auto"/>
        <w:ind w:left="1480" w:hanging="482"/>
        <w:jc w:val="both"/>
        <w:outlineLvl w:val="0"/>
        <w:rPr>
          <w:rFonts w:asciiTheme="majorHAnsi" w:hAnsiTheme="majorHAnsi" w:cstheme="minorHAnsi"/>
          <w:bCs/>
          <w:color w:val="000000" w:themeColor="text1"/>
          <w:szCs w:val="32"/>
        </w:rPr>
      </w:pPr>
      <w:r w:rsidRPr="00AC0364">
        <w:rPr>
          <w:rFonts w:asciiTheme="majorHAnsi" w:hAnsiTheme="majorHAnsi" w:cstheme="minorHAnsi"/>
          <w:szCs w:val="32"/>
        </w:rPr>
        <w:t xml:space="preserve">Appointed budget holders are responsible for checking and certifying monthly statements of expenditure against the delegated budget, reporting any potential overspending to the </w:t>
      </w:r>
      <w:r w:rsidR="00711625">
        <w:rPr>
          <w:rFonts w:asciiTheme="majorHAnsi" w:hAnsiTheme="majorHAnsi" w:cstheme="minorHAnsi"/>
          <w:bCs/>
          <w:color w:val="000000" w:themeColor="text1"/>
          <w:szCs w:val="32"/>
        </w:rPr>
        <w:t>Business Manager/Chief Financial Officer</w:t>
      </w:r>
      <w:r w:rsidRPr="00CD45C2">
        <w:rPr>
          <w:rFonts w:asciiTheme="majorHAnsi" w:hAnsiTheme="majorHAnsi" w:cstheme="minorHAnsi"/>
          <w:bCs/>
          <w:color w:val="000000" w:themeColor="text1"/>
          <w:szCs w:val="32"/>
        </w:rPr>
        <w:t xml:space="preserve">. </w:t>
      </w:r>
    </w:p>
    <w:p w14:paraId="74C89E0D" w14:textId="23158E79" w:rsidR="00AC0364" w:rsidRPr="00AC0364" w:rsidRDefault="00AC0364" w:rsidP="00400FAE">
      <w:pPr>
        <w:numPr>
          <w:ilvl w:val="1"/>
          <w:numId w:val="26"/>
        </w:numPr>
        <w:tabs>
          <w:tab w:val="num" w:pos="360"/>
        </w:tabs>
        <w:spacing w:after="0" w:line="240" w:lineRule="auto"/>
        <w:ind w:left="1480" w:hanging="482"/>
        <w:jc w:val="both"/>
        <w:outlineLvl w:val="0"/>
        <w:rPr>
          <w:rFonts w:asciiTheme="majorHAnsi" w:hAnsiTheme="majorHAnsi" w:cstheme="minorHAnsi"/>
          <w:szCs w:val="32"/>
        </w:rPr>
      </w:pPr>
      <w:r w:rsidRPr="00CD45C2">
        <w:rPr>
          <w:rFonts w:asciiTheme="majorHAnsi" w:hAnsiTheme="majorHAnsi" w:cstheme="minorHAnsi"/>
          <w:bCs/>
          <w:color w:val="000000" w:themeColor="text1"/>
          <w:szCs w:val="32"/>
        </w:rPr>
        <w:t xml:space="preserve">Staff members will notify the </w:t>
      </w:r>
      <w:r w:rsidR="00711625">
        <w:rPr>
          <w:rFonts w:asciiTheme="majorHAnsi" w:hAnsiTheme="majorHAnsi" w:cstheme="minorHAnsi"/>
          <w:bCs/>
          <w:color w:val="000000" w:themeColor="text1"/>
          <w:szCs w:val="32"/>
        </w:rPr>
        <w:t>Business Manager/Chief Financial Officer</w:t>
      </w:r>
      <w:r w:rsidRPr="00CD45C2">
        <w:rPr>
          <w:rFonts w:asciiTheme="majorHAnsi" w:hAnsiTheme="majorHAnsi" w:cstheme="minorHAnsi"/>
          <w:color w:val="000000" w:themeColor="text1"/>
          <w:szCs w:val="32"/>
        </w:rPr>
        <w:t xml:space="preserve"> </w:t>
      </w:r>
      <w:r w:rsidRPr="00AC0364">
        <w:rPr>
          <w:rFonts w:asciiTheme="majorHAnsi" w:hAnsiTheme="majorHAnsi" w:cstheme="minorHAnsi"/>
          <w:szCs w:val="32"/>
        </w:rPr>
        <w:t xml:space="preserve">of any eventuality that could affect the </w:t>
      </w:r>
      <w:r w:rsidR="009A5CB6">
        <w:rPr>
          <w:rFonts w:asciiTheme="majorHAnsi" w:hAnsiTheme="majorHAnsi" w:cstheme="minorHAnsi"/>
          <w:szCs w:val="32"/>
        </w:rPr>
        <w:t>trust</w:t>
      </w:r>
      <w:r w:rsidRPr="00AC0364">
        <w:rPr>
          <w:rFonts w:asciiTheme="majorHAnsi" w:hAnsiTheme="majorHAnsi" w:cstheme="minorHAnsi"/>
          <w:szCs w:val="32"/>
        </w:rPr>
        <w:t xml:space="preserve">’s insurance arrangements, such as a school trip. </w:t>
      </w:r>
    </w:p>
    <w:p w14:paraId="4F643C01" w14:textId="538E3104" w:rsidR="00AC0364" w:rsidRDefault="00AC0364" w:rsidP="00400FAE">
      <w:pPr>
        <w:numPr>
          <w:ilvl w:val="1"/>
          <w:numId w:val="26"/>
        </w:numPr>
        <w:tabs>
          <w:tab w:val="num" w:pos="360"/>
        </w:tabs>
        <w:spacing w:after="0" w:line="240" w:lineRule="auto"/>
        <w:ind w:left="1480" w:hanging="482"/>
        <w:jc w:val="both"/>
        <w:outlineLvl w:val="0"/>
        <w:rPr>
          <w:rFonts w:asciiTheme="majorHAnsi" w:hAnsiTheme="majorHAnsi" w:cstheme="minorHAnsi"/>
          <w:szCs w:val="32"/>
        </w:rPr>
      </w:pPr>
      <w:r w:rsidRPr="00AC0364">
        <w:rPr>
          <w:rFonts w:asciiTheme="majorHAnsi" w:hAnsiTheme="majorHAnsi" w:cstheme="minorHAnsi"/>
          <w:szCs w:val="32"/>
        </w:rPr>
        <w:t xml:space="preserve">All staff members with financial accountability are responsible for maintaining accurate and up-to-date records regarding their actions in relation to the </w:t>
      </w:r>
      <w:r w:rsidR="00B0796E">
        <w:rPr>
          <w:rFonts w:asciiTheme="majorHAnsi" w:hAnsiTheme="majorHAnsi" w:cstheme="minorHAnsi"/>
          <w:szCs w:val="32"/>
        </w:rPr>
        <w:t>trust</w:t>
      </w:r>
      <w:r w:rsidRPr="00AC0364">
        <w:rPr>
          <w:rFonts w:asciiTheme="majorHAnsi" w:hAnsiTheme="majorHAnsi" w:cstheme="minorHAnsi"/>
          <w:szCs w:val="32"/>
        </w:rPr>
        <w:t xml:space="preserve">’s finances. </w:t>
      </w:r>
    </w:p>
    <w:p w14:paraId="10FB4C35" w14:textId="77777777" w:rsidR="00242171" w:rsidRDefault="00242171" w:rsidP="00242171">
      <w:pPr>
        <w:spacing w:after="0" w:line="240" w:lineRule="auto"/>
        <w:ind w:left="1480"/>
        <w:jc w:val="both"/>
        <w:outlineLvl w:val="0"/>
        <w:rPr>
          <w:rFonts w:asciiTheme="majorHAnsi" w:hAnsiTheme="majorHAnsi" w:cstheme="minorHAnsi"/>
          <w:szCs w:val="32"/>
        </w:rPr>
      </w:pPr>
    </w:p>
    <w:p w14:paraId="3DB53C46" w14:textId="6ACADDAE" w:rsidR="00AC0364" w:rsidRDefault="00AC0364" w:rsidP="00400FAE">
      <w:pPr>
        <w:pStyle w:val="Heading10"/>
        <w:spacing w:after="0" w:line="240" w:lineRule="auto"/>
      </w:pPr>
      <w:bookmarkStart w:id="29" w:name="_General_financial_management"/>
      <w:bookmarkEnd w:id="29"/>
      <w:r>
        <w:t>General financial management</w:t>
      </w:r>
    </w:p>
    <w:p w14:paraId="2A5F63BA" w14:textId="77777777" w:rsidR="00711625" w:rsidRPr="00711625" w:rsidRDefault="00711625" w:rsidP="00711625"/>
    <w:p w14:paraId="39BBEDE8" w14:textId="77777777" w:rsidR="00AC0364" w:rsidRPr="00AC0364" w:rsidRDefault="00AC0364" w:rsidP="00400FAE">
      <w:pPr>
        <w:numPr>
          <w:ilvl w:val="1"/>
          <w:numId w:val="26"/>
        </w:numPr>
        <w:tabs>
          <w:tab w:val="num" w:pos="360"/>
        </w:tabs>
        <w:spacing w:after="0" w:line="240" w:lineRule="auto"/>
        <w:ind w:left="1480" w:hanging="482"/>
        <w:jc w:val="both"/>
        <w:outlineLvl w:val="0"/>
        <w:rPr>
          <w:rFonts w:asciiTheme="minorHAnsi" w:hAnsiTheme="minorHAnsi" w:cstheme="minorHAnsi"/>
          <w:szCs w:val="32"/>
        </w:rPr>
      </w:pPr>
      <w:r w:rsidRPr="00AC0364">
        <w:rPr>
          <w:rFonts w:asciiTheme="minorHAnsi" w:hAnsiTheme="minorHAnsi" w:cstheme="minorHAnsi"/>
          <w:szCs w:val="32"/>
        </w:rPr>
        <w:t xml:space="preserve">Where the trust’s transactions go beyond the specified delegated authority limits, prior approval from the ESFA will be sought. </w:t>
      </w:r>
    </w:p>
    <w:p w14:paraId="79A2B877" w14:textId="77777777" w:rsidR="00AC0364" w:rsidRPr="00AC0364" w:rsidRDefault="00AC0364" w:rsidP="00400FAE">
      <w:pPr>
        <w:numPr>
          <w:ilvl w:val="1"/>
          <w:numId w:val="26"/>
        </w:numPr>
        <w:tabs>
          <w:tab w:val="num" w:pos="360"/>
        </w:tabs>
        <w:spacing w:after="0" w:line="240" w:lineRule="auto"/>
        <w:ind w:left="1480" w:hanging="482"/>
        <w:jc w:val="both"/>
        <w:outlineLvl w:val="0"/>
        <w:rPr>
          <w:rFonts w:asciiTheme="minorHAnsi" w:hAnsiTheme="minorHAnsi" w:cstheme="minorHAnsi"/>
          <w:szCs w:val="32"/>
        </w:rPr>
      </w:pPr>
      <w:r w:rsidRPr="00AC0364">
        <w:rPr>
          <w:rFonts w:asciiTheme="minorHAnsi" w:hAnsiTheme="minorHAnsi" w:cstheme="minorHAnsi"/>
          <w:szCs w:val="32"/>
        </w:rPr>
        <w:t xml:space="preserve">The trust will seek the ESFA’s prior approval for borrowing from any source where such borrowing is to be repaid from grant monies or secured on assets funded by grant monies. </w:t>
      </w:r>
    </w:p>
    <w:p w14:paraId="728BAF9A" w14:textId="5935E4CA" w:rsidR="00AC0364" w:rsidRPr="00AC0364" w:rsidRDefault="00AC0364" w:rsidP="00400FAE">
      <w:pPr>
        <w:numPr>
          <w:ilvl w:val="1"/>
          <w:numId w:val="26"/>
        </w:numPr>
        <w:tabs>
          <w:tab w:val="num" w:pos="360"/>
        </w:tabs>
        <w:spacing w:after="0" w:line="240" w:lineRule="auto"/>
        <w:ind w:left="1480" w:hanging="482"/>
        <w:jc w:val="both"/>
        <w:outlineLvl w:val="0"/>
        <w:rPr>
          <w:rFonts w:asciiTheme="minorHAnsi" w:hAnsiTheme="minorHAnsi" w:cstheme="minorHAnsi"/>
          <w:szCs w:val="32"/>
        </w:rPr>
      </w:pPr>
      <w:r w:rsidRPr="00AC0364">
        <w:rPr>
          <w:rFonts w:asciiTheme="minorHAnsi" w:hAnsiTheme="minorHAnsi" w:cstheme="minorHAnsi"/>
          <w:szCs w:val="32"/>
        </w:rPr>
        <w:t>All trust funds, including th</w:t>
      </w:r>
      <w:r w:rsidR="00BB4DEE">
        <w:rPr>
          <w:rFonts w:asciiTheme="minorHAnsi" w:hAnsiTheme="minorHAnsi" w:cstheme="minorHAnsi"/>
          <w:szCs w:val="32"/>
        </w:rPr>
        <w:t>ose</w:t>
      </w:r>
      <w:r w:rsidRPr="00AC0364">
        <w:rPr>
          <w:rFonts w:asciiTheme="minorHAnsi" w:hAnsiTheme="minorHAnsi" w:cstheme="minorHAnsi"/>
          <w:szCs w:val="32"/>
        </w:rPr>
        <w:t xml:space="preserve"> involving credit cards and online banking, will only be used for business expenditure and all balances will be cleared before interest accrues. </w:t>
      </w:r>
    </w:p>
    <w:p w14:paraId="73DCA93E" w14:textId="690B53CD" w:rsidR="00AC0364" w:rsidRPr="00AC0364" w:rsidRDefault="00AC0364" w:rsidP="00400FAE">
      <w:pPr>
        <w:numPr>
          <w:ilvl w:val="1"/>
          <w:numId w:val="26"/>
        </w:numPr>
        <w:tabs>
          <w:tab w:val="num" w:pos="360"/>
        </w:tabs>
        <w:spacing w:after="0" w:line="240" w:lineRule="auto"/>
        <w:ind w:left="1480" w:hanging="482"/>
        <w:jc w:val="both"/>
        <w:outlineLvl w:val="0"/>
        <w:rPr>
          <w:rFonts w:asciiTheme="minorHAnsi" w:hAnsiTheme="minorHAnsi" w:cstheme="minorHAnsi"/>
          <w:szCs w:val="32"/>
        </w:rPr>
      </w:pPr>
      <w:r w:rsidRPr="00AC0364">
        <w:rPr>
          <w:rFonts w:asciiTheme="minorHAnsi" w:hAnsiTheme="minorHAnsi" w:cstheme="minorHAnsi"/>
          <w:szCs w:val="32"/>
        </w:rPr>
        <w:t xml:space="preserve">All </w:t>
      </w:r>
      <w:r w:rsidR="00E369E6">
        <w:rPr>
          <w:rFonts w:asciiTheme="minorHAnsi" w:hAnsiTheme="minorHAnsi" w:cstheme="minorHAnsi"/>
          <w:szCs w:val="32"/>
        </w:rPr>
        <w:t>members of the board of trustees</w:t>
      </w:r>
      <w:r w:rsidRPr="00AC0364">
        <w:rPr>
          <w:rFonts w:asciiTheme="minorHAnsi" w:hAnsiTheme="minorHAnsi" w:cstheme="minorHAnsi"/>
          <w:szCs w:val="32"/>
        </w:rPr>
        <w:t xml:space="preserve"> who hold delegated powers are responsible for ensuring that: </w:t>
      </w:r>
    </w:p>
    <w:p w14:paraId="7355AAED" w14:textId="77777777" w:rsidR="00AC0364" w:rsidRPr="00AC0364"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r w:rsidRPr="00AC0364">
        <w:rPr>
          <w:rFonts w:asciiTheme="minorHAnsi" w:hAnsiTheme="minorHAnsi" w:cstheme="minorBidi"/>
        </w:rPr>
        <w:t xml:space="preserve">There is probity in the use of public funds. </w:t>
      </w:r>
    </w:p>
    <w:p w14:paraId="388B4C98" w14:textId="77777777" w:rsidR="00AC0364" w:rsidRPr="00AC0364"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r w:rsidRPr="00AC0364">
        <w:rPr>
          <w:rFonts w:asciiTheme="minorHAnsi" w:hAnsiTheme="minorHAnsi" w:cstheme="minorBidi"/>
        </w:rPr>
        <w:t xml:space="preserve">Spending decisions represent value for money. </w:t>
      </w:r>
    </w:p>
    <w:p w14:paraId="53063EDB" w14:textId="77777777" w:rsidR="00AC0364" w:rsidRPr="00AC0364"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r w:rsidRPr="00AC0364">
        <w:rPr>
          <w:rFonts w:asciiTheme="minorHAnsi" w:hAnsiTheme="minorHAnsi" w:cstheme="minorBidi"/>
        </w:rPr>
        <w:t xml:space="preserve">Internal delegation levels are </w:t>
      </w:r>
      <w:proofErr w:type="gramStart"/>
      <w:r w:rsidRPr="00AC0364">
        <w:rPr>
          <w:rFonts w:asciiTheme="minorHAnsi" w:hAnsiTheme="minorHAnsi" w:cstheme="minorBidi"/>
        </w:rPr>
        <w:t>applied within the trust at all times</w:t>
      </w:r>
      <w:proofErr w:type="gramEnd"/>
      <w:r w:rsidRPr="00AC0364">
        <w:rPr>
          <w:rFonts w:asciiTheme="minorHAnsi" w:hAnsiTheme="minorHAnsi" w:cstheme="minorBidi"/>
        </w:rPr>
        <w:t>.</w:t>
      </w:r>
    </w:p>
    <w:p w14:paraId="31A63705" w14:textId="77777777" w:rsidR="00AC0364" w:rsidRPr="00AC0364"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r w:rsidRPr="00AC0364">
        <w:rPr>
          <w:rFonts w:asciiTheme="minorHAnsi" w:hAnsiTheme="minorHAnsi" w:cstheme="minorBidi"/>
        </w:rPr>
        <w:t xml:space="preserve">A competitive tendering policy is implemented. </w:t>
      </w:r>
    </w:p>
    <w:p w14:paraId="50997E07" w14:textId="77777777" w:rsidR="00AC0364" w:rsidRPr="00AC0364"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r w:rsidRPr="00AC0364">
        <w:rPr>
          <w:rFonts w:asciiTheme="minorHAnsi" w:hAnsiTheme="minorHAnsi" w:cstheme="minorBidi"/>
        </w:rPr>
        <w:t>The Official Journal of the European Union (OJEU) procurement thresholds are observed.</w:t>
      </w:r>
    </w:p>
    <w:p w14:paraId="2B84A9C3" w14:textId="77777777" w:rsidR="00AC0364" w:rsidRPr="00AC0364"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r w:rsidRPr="00AC0364">
        <w:rPr>
          <w:rFonts w:asciiTheme="minorHAnsi" w:hAnsiTheme="minorHAnsi" w:cstheme="minorBidi"/>
        </w:rPr>
        <w:t xml:space="preserve">Relevant professional advice is obtained, where appropriate. </w:t>
      </w:r>
    </w:p>
    <w:p w14:paraId="1B7161CD" w14:textId="5E28F1E3" w:rsidR="00AC0364" w:rsidRPr="00AC0364" w:rsidRDefault="00AC0364" w:rsidP="00400FAE">
      <w:pPr>
        <w:numPr>
          <w:ilvl w:val="1"/>
          <w:numId w:val="26"/>
        </w:numPr>
        <w:tabs>
          <w:tab w:val="num" w:pos="360"/>
        </w:tabs>
        <w:spacing w:after="0" w:line="240" w:lineRule="auto"/>
        <w:ind w:left="1480" w:hanging="482"/>
        <w:jc w:val="both"/>
        <w:outlineLvl w:val="0"/>
        <w:rPr>
          <w:rFonts w:asciiTheme="majorHAnsi" w:hAnsiTheme="majorHAnsi" w:cstheme="minorHAnsi"/>
          <w:szCs w:val="32"/>
        </w:rPr>
      </w:pPr>
      <w:r w:rsidRPr="00AC0364">
        <w:rPr>
          <w:rFonts w:asciiTheme="majorHAnsi" w:hAnsiTheme="majorHAnsi" w:cstheme="minorHAnsi"/>
          <w:szCs w:val="32"/>
        </w:rPr>
        <w:t xml:space="preserve">The trust will disclose aggregate figures for all transactions of any amount, and separate disclosure for individual transactions above £5,000, in their audited accounts for the transactions outlined in the </w:t>
      </w:r>
      <w:r w:rsidR="007250F7">
        <w:rPr>
          <w:rFonts w:asciiTheme="majorHAnsi" w:hAnsiTheme="majorHAnsi" w:cstheme="minorHAnsi"/>
          <w:szCs w:val="32"/>
        </w:rPr>
        <w:t>AFH.</w:t>
      </w:r>
      <w:r w:rsidRPr="00AC0364">
        <w:rPr>
          <w:rFonts w:asciiTheme="majorHAnsi" w:hAnsiTheme="majorHAnsi" w:cstheme="minorHAnsi"/>
          <w:szCs w:val="32"/>
        </w:rPr>
        <w:t xml:space="preserve"> </w:t>
      </w:r>
    </w:p>
    <w:p w14:paraId="67C1C5A5" w14:textId="63D47844" w:rsidR="00AC0364" w:rsidRPr="00AC0364" w:rsidRDefault="00AC0364" w:rsidP="00400FAE">
      <w:pPr>
        <w:numPr>
          <w:ilvl w:val="1"/>
          <w:numId w:val="26"/>
        </w:numPr>
        <w:tabs>
          <w:tab w:val="num" w:pos="360"/>
        </w:tabs>
        <w:spacing w:after="0" w:line="240" w:lineRule="auto"/>
        <w:ind w:left="1480" w:hanging="482"/>
        <w:jc w:val="both"/>
        <w:outlineLvl w:val="0"/>
        <w:rPr>
          <w:rFonts w:asciiTheme="majorHAnsi" w:hAnsiTheme="majorHAnsi" w:cstheme="minorHAnsi"/>
          <w:szCs w:val="32"/>
        </w:rPr>
      </w:pPr>
      <w:r w:rsidRPr="00AC0364">
        <w:rPr>
          <w:rFonts w:asciiTheme="majorHAnsi" w:hAnsiTheme="majorHAnsi" w:cstheme="minorHAnsi"/>
          <w:szCs w:val="32"/>
        </w:rPr>
        <w:t xml:space="preserve">Relevant financial procedures implemented within the trust are outlined in the following </w:t>
      </w:r>
      <w:r w:rsidR="00B0796E">
        <w:rPr>
          <w:rFonts w:asciiTheme="majorHAnsi" w:hAnsiTheme="majorHAnsi" w:cstheme="minorHAnsi"/>
          <w:szCs w:val="32"/>
        </w:rPr>
        <w:t>trust</w:t>
      </w:r>
      <w:r w:rsidRPr="00AC0364">
        <w:rPr>
          <w:rFonts w:asciiTheme="majorHAnsi" w:hAnsiTheme="majorHAnsi" w:cstheme="minorHAnsi"/>
          <w:szCs w:val="32"/>
        </w:rPr>
        <w:t xml:space="preserve"> policies:</w:t>
      </w:r>
    </w:p>
    <w:p w14:paraId="0FC8326C" w14:textId="72A74BBE" w:rsidR="00AC0364" w:rsidRPr="00824E5C"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bookmarkStart w:id="30" w:name="_Hlk522189700"/>
      <w:r w:rsidRPr="00824E5C">
        <w:rPr>
          <w:rFonts w:asciiTheme="minorHAnsi" w:hAnsiTheme="minorHAnsi" w:cstheme="minorBidi"/>
        </w:rPr>
        <w:t>Pay Policy</w:t>
      </w:r>
    </w:p>
    <w:p w14:paraId="0E4306CB" w14:textId="77777777" w:rsidR="00AC0364" w:rsidRPr="00824E5C"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r w:rsidRPr="00824E5C">
        <w:rPr>
          <w:rFonts w:asciiTheme="minorHAnsi" w:hAnsiTheme="minorHAnsi" w:cstheme="minorBidi"/>
        </w:rPr>
        <w:t>Gifts, Hospitality and Anti-Bribery Policy</w:t>
      </w:r>
    </w:p>
    <w:p w14:paraId="0AEB386A" w14:textId="4EDDF0C3" w:rsidR="00AC0364" w:rsidRPr="00824E5C"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r w:rsidRPr="00824E5C">
        <w:rPr>
          <w:rFonts w:asciiTheme="minorHAnsi" w:hAnsiTheme="minorHAnsi" w:cstheme="minorBidi"/>
        </w:rPr>
        <w:t>Procurement and Tendering Policy</w:t>
      </w:r>
    </w:p>
    <w:p w14:paraId="7CDFEB22" w14:textId="1A147152" w:rsidR="00AC0364" w:rsidRPr="00824E5C" w:rsidRDefault="00AC0364" w:rsidP="00400FAE">
      <w:pPr>
        <w:numPr>
          <w:ilvl w:val="0"/>
          <w:numId w:val="8"/>
        </w:numPr>
        <w:tabs>
          <w:tab w:val="left" w:pos="3686"/>
        </w:tabs>
        <w:spacing w:after="0" w:line="240" w:lineRule="auto"/>
        <w:ind w:left="2058" w:hanging="357"/>
        <w:jc w:val="both"/>
        <w:rPr>
          <w:rFonts w:asciiTheme="minorHAnsi" w:hAnsiTheme="minorHAnsi" w:cstheme="minorBidi"/>
        </w:rPr>
      </w:pPr>
      <w:r w:rsidRPr="00824E5C">
        <w:rPr>
          <w:rFonts w:asciiTheme="minorHAnsi" w:hAnsiTheme="minorHAnsi" w:cstheme="minorBidi"/>
        </w:rPr>
        <w:t>Asset Control Policy</w:t>
      </w:r>
    </w:p>
    <w:bookmarkEnd w:id="30"/>
    <w:p w14:paraId="51F916BA" w14:textId="29C431D0" w:rsidR="00AC0364" w:rsidRPr="00AC0364" w:rsidRDefault="00AC0364" w:rsidP="00400FAE">
      <w:pPr>
        <w:numPr>
          <w:ilvl w:val="1"/>
          <w:numId w:val="26"/>
        </w:numPr>
        <w:spacing w:after="0" w:line="240" w:lineRule="auto"/>
        <w:ind w:left="1480" w:hanging="482"/>
        <w:jc w:val="both"/>
        <w:outlineLvl w:val="0"/>
        <w:rPr>
          <w:rFonts w:asciiTheme="majorHAnsi" w:hAnsiTheme="majorHAnsi" w:cstheme="minorHAnsi"/>
          <w:szCs w:val="32"/>
        </w:rPr>
      </w:pPr>
      <w:r w:rsidRPr="00AC0364">
        <w:rPr>
          <w:rFonts w:asciiTheme="majorHAnsi" w:hAnsiTheme="majorHAnsi" w:cstheme="minorHAnsi"/>
          <w:szCs w:val="32"/>
        </w:rPr>
        <w:t xml:space="preserve">All special payments, including staff severance of any value, will be disclosed in total and individually. </w:t>
      </w:r>
    </w:p>
    <w:p w14:paraId="5BE9B0E4" w14:textId="77777777" w:rsidR="00AC0364" w:rsidRPr="00AC0364" w:rsidRDefault="00AC0364" w:rsidP="00400FAE">
      <w:pPr>
        <w:numPr>
          <w:ilvl w:val="1"/>
          <w:numId w:val="26"/>
        </w:numPr>
        <w:spacing w:after="0" w:line="240" w:lineRule="auto"/>
        <w:ind w:left="1480" w:hanging="482"/>
        <w:jc w:val="both"/>
        <w:outlineLvl w:val="0"/>
        <w:rPr>
          <w:rFonts w:asciiTheme="majorHAnsi" w:hAnsiTheme="majorHAnsi" w:cstheme="minorHAnsi"/>
          <w:szCs w:val="32"/>
        </w:rPr>
      </w:pPr>
      <w:r w:rsidRPr="00AC0364">
        <w:rPr>
          <w:rFonts w:asciiTheme="majorHAnsi" w:hAnsiTheme="majorHAnsi" w:cstheme="minorHAnsi"/>
          <w:szCs w:val="32"/>
        </w:rPr>
        <w:t xml:space="preserve">All ex-gratia payments will be referred to the ESFA for prior authorisation. </w:t>
      </w:r>
    </w:p>
    <w:p w14:paraId="2F33F412" w14:textId="6916AAA2" w:rsidR="00AC0364" w:rsidRPr="00AC0364" w:rsidRDefault="00AC0364" w:rsidP="00400FAE">
      <w:pPr>
        <w:numPr>
          <w:ilvl w:val="1"/>
          <w:numId w:val="26"/>
        </w:numPr>
        <w:spacing w:after="0" w:line="240" w:lineRule="auto"/>
        <w:ind w:left="1480" w:hanging="482"/>
        <w:jc w:val="both"/>
        <w:outlineLvl w:val="0"/>
        <w:rPr>
          <w:rFonts w:asciiTheme="majorHAnsi" w:hAnsiTheme="majorHAnsi" w:cstheme="minorHAnsi"/>
          <w:szCs w:val="32"/>
        </w:rPr>
      </w:pPr>
      <w:r w:rsidRPr="00AC0364">
        <w:rPr>
          <w:rFonts w:asciiTheme="majorHAnsi" w:hAnsiTheme="majorHAnsi" w:cstheme="minorHAnsi"/>
          <w:szCs w:val="32"/>
        </w:rPr>
        <w:t xml:space="preserve">The trust has delegated authority to approve individual compensation payments, provided that any non-contractual element is under £50,000. Where the payment is above this amount, the ESFA’s prior approval will be obtained. </w:t>
      </w:r>
    </w:p>
    <w:p w14:paraId="16D6D1DE" w14:textId="681B48E3" w:rsidR="00824E5C" w:rsidRPr="00824E5C" w:rsidRDefault="00AC0364" w:rsidP="00824E5C">
      <w:pPr>
        <w:numPr>
          <w:ilvl w:val="1"/>
          <w:numId w:val="26"/>
        </w:numPr>
        <w:spacing w:after="0" w:line="240" w:lineRule="auto"/>
        <w:ind w:left="1480" w:hanging="629"/>
        <w:jc w:val="both"/>
        <w:outlineLvl w:val="0"/>
        <w:rPr>
          <w:rFonts w:asciiTheme="majorHAnsi" w:hAnsiTheme="majorHAnsi" w:cstheme="minorHAnsi"/>
          <w:szCs w:val="32"/>
        </w:rPr>
      </w:pPr>
      <w:r w:rsidRPr="00AC0364">
        <w:rPr>
          <w:rFonts w:asciiTheme="majorHAnsi" w:hAnsiTheme="majorHAnsi" w:cstheme="minorHAnsi"/>
          <w:szCs w:val="32"/>
        </w:rPr>
        <w:t>All members</w:t>
      </w:r>
      <w:r w:rsidR="00410466">
        <w:rPr>
          <w:rFonts w:asciiTheme="majorHAnsi" w:hAnsiTheme="majorHAnsi" w:cstheme="minorHAnsi"/>
          <w:szCs w:val="32"/>
        </w:rPr>
        <w:t>, trustees, employees and accounting officers</w:t>
      </w:r>
      <w:r w:rsidRPr="00AC0364">
        <w:rPr>
          <w:rFonts w:asciiTheme="majorHAnsi" w:hAnsiTheme="majorHAnsi" w:cstheme="minorHAnsi"/>
          <w:szCs w:val="32"/>
        </w:rPr>
        <w:t xml:space="preserve"> with financial responsibility are required to record the details of any relevant business and pecuniary interests</w:t>
      </w:r>
      <w:r w:rsidR="00410466">
        <w:rPr>
          <w:rFonts w:asciiTheme="majorHAnsi" w:hAnsiTheme="majorHAnsi" w:cstheme="minorHAnsi"/>
          <w:szCs w:val="32"/>
        </w:rPr>
        <w:t xml:space="preserve"> – relevant material interests arising from family relationships must also be detail</w:t>
      </w:r>
      <w:r w:rsidR="007250F7">
        <w:rPr>
          <w:rFonts w:asciiTheme="majorHAnsi" w:hAnsiTheme="majorHAnsi" w:cstheme="minorHAnsi"/>
          <w:szCs w:val="32"/>
        </w:rPr>
        <w:t>ed</w:t>
      </w:r>
      <w:r w:rsidR="00410466">
        <w:rPr>
          <w:rFonts w:asciiTheme="majorHAnsi" w:hAnsiTheme="majorHAnsi" w:cstheme="minorHAnsi"/>
          <w:szCs w:val="32"/>
        </w:rPr>
        <w:t>.</w:t>
      </w:r>
      <w:r w:rsidR="00390E2D">
        <w:rPr>
          <w:rFonts w:asciiTheme="majorHAnsi" w:hAnsiTheme="majorHAnsi" w:cstheme="minorHAnsi"/>
          <w:szCs w:val="32"/>
        </w:rPr>
        <w:t xml:space="preserve"> </w:t>
      </w:r>
      <w:r w:rsidRPr="00AC0364">
        <w:rPr>
          <w:rFonts w:asciiTheme="majorHAnsi" w:hAnsiTheme="majorHAnsi" w:cstheme="minorHAnsi"/>
          <w:szCs w:val="32"/>
        </w:rPr>
        <w:t xml:space="preserve">This register will be published on the trust’s website: </w:t>
      </w:r>
      <w:r w:rsidR="00824E5C">
        <w:rPr>
          <w:rFonts w:asciiTheme="majorHAnsi" w:hAnsiTheme="majorHAnsi" w:cstheme="minorHAnsi"/>
          <w:szCs w:val="32"/>
        </w:rPr>
        <w:t>www.</w:t>
      </w:r>
      <w:r w:rsidR="00824E5C">
        <w:rPr>
          <w:color w:val="0000FF"/>
          <w:u w:val="single"/>
        </w:rPr>
        <w:t>bjcfps.co.uk</w:t>
      </w:r>
    </w:p>
    <w:p w14:paraId="31A39703" w14:textId="5DBCC4E4" w:rsidR="00AC0364" w:rsidRPr="00AC0364" w:rsidRDefault="00AC0364" w:rsidP="00400FAE">
      <w:pPr>
        <w:numPr>
          <w:ilvl w:val="1"/>
          <w:numId w:val="26"/>
        </w:numPr>
        <w:spacing w:after="0" w:line="240" w:lineRule="auto"/>
        <w:ind w:left="1480" w:hanging="629"/>
        <w:jc w:val="both"/>
        <w:outlineLvl w:val="0"/>
        <w:rPr>
          <w:rFonts w:asciiTheme="majorHAnsi" w:hAnsiTheme="majorHAnsi" w:cstheme="minorHAnsi"/>
          <w:szCs w:val="32"/>
        </w:rPr>
      </w:pPr>
      <w:r w:rsidRPr="00AC0364">
        <w:rPr>
          <w:rFonts w:asciiTheme="majorHAnsi" w:hAnsiTheme="majorHAnsi" w:cstheme="minorHAnsi"/>
          <w:szCs w:val="32"/>
        </w:rPr>
        <w:t>All members</w:t>
      </w:r>
      <w:r w:rsidR="00410466">
        <w:rPr>
          <w:rFonts w:asciiTheme="majorHAnsi" w:hAnsiTheme="majorHAnsi" w:cstheme="minorHAnsi"/>
          <w:szCs w:val="32"/>
        </w:rPr>
        <w:t xml:space="preserve">, trustees, employees and their relations, and organisations </w:t>
      </w:r>
      <w:r w:rsidRPr="00AC0364">
        <w:rPr>
          <w:rFonts w:asciiTheme="majorHAnsi" w:hAnsiTheme="majorHAnsi" w:cstheme="minorHAnsi"/>
          <w:szCs w:val="32"/>
        </w:rPr>
        <w:t>are responsible for ensuring that their connections to the trust are not used for personal financial gain.</w:t>
      </w:r>
    </w:p>
    <w:p w14:paraId="6BE51964" w14:textId="0CC83127" w:rsidR="00AC0364" w:rsidRPr="00AC0364" w:rsidRDefault="00AC0364" w:rsidP="00400FAE">
      <w:pPr>
        <w:numPr>
          <w:ilvl w:val="1"/>
          <w:numId w:val="26"/>
        </w:numPr>
        <w:spacing w:after="0" w:line="240" w:lineRule="auto"/>
        <w:ind w:left="1480" w:hanging="629"/>
        <w:jc w:val="both"/>
        <w:outlineLvl w:val="0"/>
        <w:rPr>
          <w:rFonts w:asciiTheme="majorHAnsi" w:hAnsiTheme="majorHAnsi" w:cstheme="minorHAnsi"/>
          <w:szCs w:val="32"/>
        </w:rPr>
      </w:pPr>
      <w:r w:rsidRPr="00AC0364">
        <w:rPr>
          <w:rFonts w:asciiTheme="majorHAnsi" w:hAnsiTheme="majorHAnsi" w:cstheme="minorHAnsi"/>
          <w:szCs w:val="32"/>
        </w:rPr>
        <w:t>Prior approval of the ESFA will be sought for all transactions with connected parties that are perceived as</w:t>
      </w:r>
      <w:r w:rsidR="00686C2C">
        <w:rPr>
          <w:rFonts w:asciiTheme="majorHAnsi" w:hAnsiTheme="majorHAnsi" w:cstheme="minorHAnsi"/>
          <w:szCs w:val="32"/>
        </w:rPr>
        <w:t xml:space="preserve"> novel,</w:t>
      </w:r>
      <w:r w:rsidRPr="00AC0364">
        <w:rPr>
          <w:rFonts w:asciiTheme="majorHAnsi" w:hAnsiTheme="majorHAnsi" w:cstheme="minorHAnsi"/>
          <w:szCs w:val="32"/>
        </w:rPr>
        <w:t xml:space="preserve"> contentious</w:t>
      </w:r>
      <w:r w:rsidR="00686C2C">
        <w:rPr>
          <w:rFonts w:asciiTheme="majorHAnsi" w:hAnsiTheme="majorHAnsi" w:cstheme="minorHAnsi"/>
          <w:szCs w:val="32"/>
        </w:rPr>
        <w:t xml:space="preserve"> or repercussive</w:t>
      </w:r>
      <w:r w:rsidRPr="00AC0364">
        <w:rPr>
          <w:rFonts w:asciiTheme="majorHAnsi" w:hAnsiTheme="majorHAnsi" w:cstheme="minorHAnsi"/>
          <w:szCs w:val="32"/>
        </w:rPr>
        <w:t xml:space="preserve">. </w:t>
      </w:r>
    </w:p>
    <w:p w14:paraId="4F0C0039" w14:textId="77777777" w:rsidR="00AC0364" w:rsidRPr="00AC0364" w:rsidRDefault="00AC0364" w:rsidP="00400FAE">
      <w:pPr>
        <w:numPr>
          <w:ilvl w:val="1"/>
          <w:numId w:val="26"/>
        </w:numPr>
        <w:spacing w:after="0" w:line="240" w:lineRule="auto"/>
        <w:ind w:left="1480" w:hanging="629"/>
        <w:jc w:val="both"/>
        <w:outlineLvl w:val="0"/>
        <w:rPr>
          <w:rFonts w:asciiTheme="majorHAnsi" w:hAnsiTheme="majorHAnsi" w:cstheme="minorHAnsi"/>
          <w:szCs w:val="32"/>
        </w:rPr>
      </w:pPr>
      <w:r w:rsidRPr="00AC0364">
        <w:rPr>
          <w:rFonts w:asciiTheme="majorHAnsi" w:hAnsiTheme="majorHAnsi" w:cstheme="minorHAnsi"/>
          <w:szCs w:val="32"/>
        </w:rPr>
        <w:t xml:space="preserve">Prior approval of the ESFA will be sought when writing-off debts and losses and </w:t>
      </w:r>
      <w:proofErr w:type="gramStart"/>
      <w:r w:rsidRPr="00AC0364">
        <w:rPr>
          <w:rFonts w:asciiTheme="majorHAnsi" w:hAnsiTheme="majorHAnsi" w:cstheme="minorHAnsi"/>
          <w:szCs w:val="32"/>
        </w:rPr>
        <w:t>entering into</w:t>
      </w:r>
      <w:proofErr w:type="gramEnd"/>
      <w:r w:rsidRPr="00AC0364">
        <w:rPr>
          <w:rFonts w:asciiTheme="majorHAnsi" w:hAnsiTheme="majorHAnsi" w:cstheme="minorHAnsi"/>
          <w:szCs w:val="32"/>
        </w:rPr>
        <w:t xml:space="preserve"> guarantees, letters of comfort or indemnities. </w:t>
      </w:r>
    </w:p>
    <w:p w14:paraId="1A715DF4" w14:textId="77777777" w:rsidR="00AC0364" w:rsidRPr="00AC0364" w:rsidRDefault="00AC0364" w:rsidP="00400FAE">
      <w:pPr>
        <w:numPr>
          <w:ilvl w:val="1"/>
          <w:numId w:val="26"/>
        </w:numPr>
        <w:spacing w:after="0" w:line="240" w:lineRule="auto"/>
        <w:ind w:left="1480" w:hanging="629"/>
        <w:jc w:val="both"/>
        <w:outlineLvl w:val="0"/>
        <w:rPr>
          <w:rFonts w:asciiTheme="majorHAnsi" w:hAnsiTheme="majorHAnsi" w:cstheme="minorHAnsi"/>
          <w:szCs w:val="32"/>
        </w:rPr>
      </w:pPr>
      <w:r w:rsidRPr="00AC0364">
        <w:rPr>
          <w:rFonts w:asciiTheme="majorHAnsi" w:hAnsiTheme="majorHAnsi" w:cstheme="minorHAnsi"/>
          <w:szCs w:val="32"/>
        </w:rPr>
        <w:t xml:space="preserve">The trust will always pursue recovery of amounts owed to it, overpayments and payments made in error, irrespective of how they came to be made. </w:t>
      </w:r>
    </w:p>
    <w:p w14:paraId="0A2E2BEA" w14:textId="70946534" w:rsidR="00AC0364" w:rsidRPr="00AC0364" w:rsidRDefault="00AC0364" w:rsidP="00400FAE">
      <w:pPr>
        <w:numPr>
          <w:ilvl w:val="1"/>
          <w:numId w:val="26"/>
        </w:numPr>
        <w:spacing w:after="0" w:line="240" w:lineRule="auto"/>
        <w:ind w:left="1480" w:hanging="629"/>
        <w:jc w:val="both"/>
        <w:outlineLvl w:val="0"/>
        <w:rPr>
          <w:rFonts w:asciiTheme="majorHAnsi" w:hAnsiTheme="majorHAnsi" w:cstheme="minorHAnsi"/>
          <w:szCs w:val="32"/>
        </w:rPr>
      </w:pPr>
      <w:r w:rsidRPr="00AC0364">
        <w:rPr>
          <w:rFonts w:asciiTheme="majorHAnsi" w:hAnsiTheme="majorHAnsi" w:cstheme="minorHAnsi"/>
          <w:szCs w:val="32"/>
        </w:rPr>
        <w:t xml:space="preserve">No payments will be made to </w:t>
      </w:r>
      <w:r w:rsidR="00FF08A3">
        <w:rPr>
          <w:rFonts w:asciiTheme="majorHAnsi" w:hAnsiTheme="majorHAnsi" w:cstheme="minorHAnsi"/>
          <w:szCs w:val="32"/>
        </w:rPr>
        <w:t>trustees</w:t>
      </w:r>
      <w:r w:rsidRPr="00AC0364">
        <w:rPr>
          <w:rFonts w:asciiTheme="majorHAnsi" w:hAnsiTheme="majorHAnsi" w:cstheme="minorHAnsi"/>
          <w:szCs w:val="32"/>
        </w:rPr>
        <w:t xml:space="preserve"> unless such payments are permitted by the trust’s articles of association</w:t>
      </w:r>
      <w:r w:rsidR="00736AEC">
        <w:rPr>
          <w:rFonts w:asciiTheme="majorHAnsi" w:hAnsiTheme="majorHAnsi" w:cstheme="minorHAnsi"/>
          <w:szCs w:val="32"/>
        </w:rPr>
        <w:t>,</w:t>
      </w:r>
      <w:r w:rsidRPr="00AC0364">
        <w:rPr>
          <w:rFonts w:asciiTheme="majorHAnsi" w:hAnsiTheme="majorHAnsi" w:cstheme="minorHAnsi"/>
          <w:szCs w:val="32"/>
        </w:rPr>
        <w:t xml:space="preserve"> or by express authority from the Charity Commission</w:t>
      </w:r>
      <w:r w:rsidR="00736AEC">
        <w:rPr>
          <w:rFonts w:asciiTheme="majorHAnsi" w:hAnsiTheme="majorHAnsi" w:cstheme="minorHAnsi"/>
          <w:szCs w:val="32"/>
        </w:rPr>
        <w:t>,</w:t>
      </w:r>
      <w:r w:rsidRPr="00AC0364">
        <w:rPr>
          <w:rFonts w:asciiTheme="majorHAnsi" w:hAnsiTheme="majorHAnsi" w:cstheme="minorHAnsi"/>
          <w:szCs w:val="32"/>
        </w:rPr>
        <w:t xml:space="preserve"> and the payments </w:t>
      </w:r>
      <w:r w:rsidR="00736AEC">
        <w:rPr>
          <w:rFonts w:asciiTheme="majorHAnsi" w:hAnsiTheme="majorHAnsi" w:cstheme="minorHAnsi"/>
          <w:szCs w:val="32"/>
        </w:rPr>
        <w:t xml:space="preserve">will </w:t>
      </w:r>
      <w:r w:rsidRPr="00AC0364">
        <w:rPr>
          <w:rFonts w:asciiTheme="majorHAnsi" w:hAnsiTheme="majorHAnsi" w:cstheme="minorHAnsi"/>
          <w:szCs w:val="32"/>
        </w:rPr>
        <w:t xml:space="preserve">comply with the terms of any agreements </w:t>
      </w:r>
      <w:proofErr w:type="gramStart"/>
      <w:r w:rsidRPr="00AC0364">
        <w:rPr>
          <w:rFonts w:asciiTheme="majorHAnsi" w:hAnsiTheme="majorHAnsi" w:cstheme="minorHAnsi"/>
          <w:szCs w:val="32"/>
        </w:rPr>
        <w:t>entered into</w:t>
      </w:r>
      <w:proofErr w:type="gramEnd"/>
      <w:r w:rsidRPr="00AC0364">
        <w:rPr>
          <w:rFonts w:asciiTheme="majorHAnsi" w:hAnsiTheme="majorHAnsi" w:cstheme="minorHAnsi"/>
          <w:szCs w:val="32"/>
        </w:rPr>
        <w:t xml:space="preserve"> with the Secretary of State. </w:t>
      </w:r>
    </w:p>
    <w:p w14:paraId="2857746B" w14:textId="423376E1" w:rsidR="00AC0364" w:rsidRPr="00AC0364" w:rsidRDefault="00AC0364" w:rsidP="00400FAE">
      <w:pPr>
        <w:numPr>
          <w:ilvl w:val="1"/>
          <w:numId w:val="26"/>
        </w:numPr>
        <w:spacing w:after="0" w:line="240" w:lineRule="auto"/>
        <w:ind w:left="1480" w:hanging="629"/>
        <w:jc w:val="both"/>
        <w:outlineLvl w:val="0"/>
        <w:rPr>
          <w:rFonts w:asciiTheme="majorHAnsi" w:hAnsiTheme="majorHAnsi" w:cstheme="minorHAnsi"/>
          <w:szCs w:val="32"/>
        </w:rPr>
      </w:pPr>
      <w:r w:rsidRPr="00AC0364">
        <w:rPr>
          <w:rFonts w:asciiTheme="majorHAnsi" w:hAnsiTheme="majorHAnsi" w:cstheme="minorHAnsi"/>
          <w:szCs w:val="32"/>
        </w:rPr>
        <w:t>In accordance with the specified</w:t>
      </w:r>
      <w:r w:rsidR="00546A1C">
        <w:rPr>
          <w:rFonts w:asciiTheme="majorHAnsi" w:hAnsiTheme="majorHAnsi" w:cstheme="minorHAnsi"/>
          <w:szCs w:val="32"/>
        </w:rPr>
        <w:t xml:space="preserve"> authorisation levels in</w:t>
      </w:r>
      <w:r w:rsidRPr="00AC0364">
        <w:rPr>
          <w:rFonts w:asciiTheme="majorHAnsi" w:hAnsiTheme="majorHAnsi" w:cstheme="minorHAnsi"/>
          <w:szCs w:val="32"/>
        </w:rPr>
        <w:t xml:space="preserve"> </w:t>
      </w:r>
      <w:hyperlink w:anchor="AppendixTitle1" w:history="1">
        <w:r w:rsidR="00546A1C">
          <w:rPr>
            <w:rFonts w:asciiTheme="majorHAnsi" w:hAnsiTheme="majorHAnsi" w:cstheme="minorHAnsi"/>
            <w:color w:val="0000FF"/>
            <w:szCs w:val="32"/>
            <w:u w:val="single"/>
          </w:rPr>
          <w:t>Appendix A</w:t>
        </w:r>
      </w:hyperlink>
      <w:r w:rsidRPr="00AC0364">
        <w:rPr>
          <w:rFonts w:asciiTheme="majorHAnsi" w:hAnsiTheme="majorHAnsi" w:cstheme="minorHAnsi"/>
          <w:szCs w:val="32"/>
        </w:rPr>
        <w:t xml:space="preserve">, prior approval will be obtained for purchases and payments as necessary, including from external parties such as the ESFA and Charity Commission. </w:t>
      </w:r>
    </w:p>
    <w:p w14:paraId="5D542086" w14:textId="77777777" w:rsidR="00AC0364" w:rsidRDefault="00AC0364" w:rsidP="00400FAE">
      <w:pPr>
        <w:numPr>
          <w:ilvl w:val="1"/>
          <w:numId w:val="26"/>
        </w:numPr>
        <w:spacing w:after="0" w:line="240" w:lineRule="auto"/>
        <w:ind w:left="1480" w:hanging="629"/>
        <w:jc w:val="both"/>
        <w:outlineLvl w:val="0"/>
        <w:rPr>
          <w:rFonts w:asciiTheme="majorHAnsi" w:hAnsiTheme="majorHAnsi" w:cstheme="minorHAnsi"/>
          <w:szCs w:val="32"/>
        </w:rPr>
      </w:pPr>
      <w:r w:rsidRPr="00AC0364">
        <w:rPr>
          <w:rFonts w:asciiTheme="majorHAnsi" w:hAnsiTheme="majorHAnsi" w:cstheme="minorHAnsi"/>
          <w:szCs w:val="32"/>
        </w:rPr>
        <w:t xml:space="preserve">All agreements between the trust and an individual or organisation will be </w:t>
      </w:r>
      <w:proofErr w:type="gramStart"/>
      <w:r w:rsidRPr="00AC0364">
        <w:rPr>
          <w:rFonts w:asciiTheme="majorHAnsi" w:hAnsiTheme="majorHAnsi" w:cstheme="minorHAnsi"/>
          <w:szCs w:val="32"/>
        </w:rPr>
        <w:t>on the basis of</w:t>
      </w:r>
      <w:proofErr w:type="gramEnd"/>
      <w:r w:rsidRPr="00AC0364">
        <w:rPr>
          <w:rFonts w:asciiTheme="majorHAnsi" w:hAnsiTheme="majorHAnsi" w:cstheme="minorHAnsi"/>
          <w:szCs w:val="32"/>
        </w:rPr>
        <w:t xml:space="preserve"> an open book agreement, including a requirement for the supplier to demonstrate, if requested, that their charges do not exceed the cost of supply. </w:t>
      </w:r>
    </w:p>
    <w:p w14:paraId="52726341" w14:textId="7D8399D1" w:rsidR="00A23725" w:rsidRPr="00E74177" w:rsidRDefault="00AC0364" w:rsidP="00400FAE">
      <w:pPr>
        <w:numPr>
          <w:ilvl w:val="1"/>
          <w:numId w:val="26"/>
        </w:numPr>
        <w:spacing w:after="0" w:line="240" w:lineRule="auto"/>
        <w:ind w:left="1480" w:hanging="629"/>
        <w:jc w:val="both"/>
        <w:outlineLvl w:val="0"/>
        <w:rPr>
          <w:rFonts w:asciiTheme="majorHAnsi" w:hAnsiTheme="majorHAnsi" w:cstheme="minorHAnsi"/>
          <w:szCs w:val="32"/>
        </w:rPr>
      </w:pPr>
      <w:r w:rsidRPr="00AC0364">
        <w:t>All agreements between the trust and an individual or organisation will be supported by a statement of assurance from the individual or organisation confirming that their charges do not exceed the cost of the goods or services supplie</w:t>
      </w:r>
      <w:bookmarkStart w:id="31" w:name="_Definition"/>
      <w:bookmarkEnd w:id="28"/>
      <w:bookmarkEnd w:id="31"/>
      <w:r w:rsidR="000831F9">
        <w:t>d</w:t>
      </w:r>
      <w:r w:rsidR="00972244">
        <w:t>.</w:t>
      </w:r>
    </w:p>
    <w:p w14:paraId="2B1CD132" w14:textId="0386E54F" w:rsidR="00E74177" w:rsidRDefault="00E74177" w:rsidP="00400FAE">
      <w:pPr>
        <w:numPr>
          <w:ilvl w:val="1"/>
          <w:numId w:val="26"/>
        </w:numPr>
        <w:spacing w:after="0" w:line="240" w:lineRule="auto"/>
        <w:ind w:left="1480" w:hanging="629"/>
        <w:jc w:val="both"/>
        <w:outlineLvl w:val="0"/>
        <w:rPr>
          <w:rFonts w:asciiTheme="majorHAnsi" w:hAnsiTheme="majorHAnsi" w:cstheme="minorHAnsi"/>
          <w:szCs w:val="32"/>
        </w:rPr>
      </w:pPr>
      <w:r>
        <w:rPr>
          <w:rFonts w:asciiTheme="majorHAnsi" w:hAnsiTheme="majorHAnsi" w:cstheme="minorHAnsi"/>
          <w:szCs w:val="32"/>
        </w:rPr>
        <w:t xml:space="preserve">The DfE’s ‘Get Information About Schools’ (GIAS) will be kept up-to-date and the ESFA will be notified about any changes relating to governance information. </w:t>
      </w:r>
    </w:p>
    <w:p w14:paraId="6917BC99" w14:textId="77777777" w:rsidR="00242171" w:rsidRPr="00345D81" w:rsidRDefault="00242171" w:rsidP="00242171">
      <w:pPr>
        <w:spacing w:after="0" w:line="240" w:lineRule="auto"/>
        <w:ind w:left="1480"/>
        <w:jc w:val="both"/>
        <w:outlineLvl w:val="0"/>
        <w:rPr>
          <w:rFonts w:asciiTheme="majorHAnsi" w:hAnsiTheme="majorHAnsi" w:cstheme="minorHAnsi"/>
          <w:szCs w:val="32"/>
        </w:rPr>
      </w:pPr>
    </w:p>
    <w:p w14:paraId="533F34EB" w14:textId="6F5D2523" w:rsidR="00972244" w:rsidRDefault="00ED04DD" w:rsidP="00400FAE">
      <w:pPr>
        <w:pStyle w:val="Heading10"/>
        <w:spacing w:after="0" w:line="240" w:lineRule="auto"/>
      </w:pPr>
      <w:bookmarkStart w:id="32" w:name="Policyreview"/>
      <w:r>
        <w:t>Monitoring and</w:t>
      </w:r>
      <w:r w:rsidR="00972244" w:rsidRPr="000158A5">
        <w:t xml:space="preserve"> review</w:t>
      </w:r>
    </w:p>
    <w:p w14:paraId="27BA5528" w14:textId="77777777" w:rsidR="00711625" w:rsidRPr="00711625" w:rsidRDefault="00711625" w:rsidP="00711625"/>
    <w:bookmarkEnd w:id="32"/>
    <w:p w14:paraId="3ADDED1E" w14:textId="5B72050C" w:rsidR="00972244" w:rsidRDefault="00972244" w:rsidP="00400FAE">
      <w:pPr>
        <w:pStyle w:val="TSB-Level2Numbers"/>
        <w:spacing w:after="0" w:line="240" w:lineRule="auto"/>
      </w:pPr>
      <w:r w:rsidRPr="00F748D0">
        <w:t>T</w:t>
      </w:r>
      <w:r w:rsidRPr="000158A5">
        <w:t xml:space="preserve">his </w:t>
      </w:r>
      <w:r w:rsidR="00ED04DD">
        <w:t>document</w:t>
      </w:r>
      <w:r w:rsidR="009F1CB1">
        <w:t xml:space="preserve"> </w:t>
      </w:r>
      <w:r w:rsidRPr="000158A5">
        <w:t>is reviewed</w:t>
      </w:r>
      <w:r w:rsidRPr="000B209E">
        <w:rPr>
          <w:bCs/>
          <w:color w:val="000000" w:themeColor="text1"/>
        </w:rPr>
        <w:t xml:space="preserve"> </w:t>
      </w:r>
      <w:r w:rsidR="00ED04DD" w:rsidRPr="000B209E">
        <w:rPr>
          <w:bCs/>
          <w:color w:val="000000" w:themeColor="text1"/>
        </w:rPr>
        <w:t>annually</w:t>
      </w:r>
      <w:r w:rsidRPr="000B209E">
        <w:rPr>
          <w:color w:val="000000" w:themeColor="text1"/>
        </w:rPr>
        <w:t xml:space="preserve"> </w:t>
      </w:r>
      <w:r w:rsidRPr="000158A5">
        <w:t xml:space="preserve">by the </w:t>
      </w:r>
      <w:r w:rsidR="00B0796E">
        <w:t>board of trustees</w:t>
      </w:r>
      <w:r w:rsidR="00E015F3">
        <w:t xml:space="preserve">, </w:t>
      </w:r>
      <w:r w:rsidR="00C63BAB" w:rsidRPr="00E015F3">
        <w:t xml:space="preserve">or sooner if updates to the </w:t>
      </w:r>
      <w:r w:rsidR="00835F21">
        <w:t>AFH</w:t>
      </w:r>
      <w:r w:rsidR="00B0796E">
        <w:t xml:space="preserve"> </w:t>
      </w:r>
      <w:r w:rsidR="00C63BAB" w:rsidRPr="00E015F3">
        <w:t>require changes to be made</w:t>
      </w:r>
      <w:r w:rsidRPr="000158A5">
        <w:t>.</w:t>
      </w:r>
    </w:p>
    <w:p w14:paraId="6EDE7841" w14:textId="7506E113" w:rsidR="00972244" w:rsidRPr="002E7A37" w:rsidRDefault="00972244" w:rsidP="00400FAE">
      <w:pPr>
        <w:pStyle w:val="TSB-Level2Numbers"/>
        <w:spacing w:after="0" w:line="240" w:lineRule="auto"/>
      </w:pPr>
      <w:r>
        <w:t xml:space="preserve">Any changes to this policy will be communicated to members of staff by the </w:t>
      </w:r>
      <w:r w:rsidR="00711625">
        <w:rPr>
          <w:bCs/>
          <w:color w:val="000000" w:themeColor="text1"/>
        </w:rPr>
        <w:t>Business Manager/Chief Financial Officer</w:t>
      </w:r>
      <w:r w:rsidRPr="002E7A37">
        <w:t>.</w:t>
      </w:r>
    </w:p>
    <w:p w14:paraId="57DA92DD" w14:textId="7298C517" w:rsidR="00972244" w:rsidRPr="00242171" w:rsidRDefault="00972244" w:rsidP="00242171">
      <w:pPr>
        <w:pStyle w:val="TSB-Level2Numbers"/>
        <w:numPr>
          <w:ilvl w:val="0"/>
          <w:numId w:val="0"/>
        </w:numPr>
        <w:spacing w:after="0" w:line="240" w:lineRule="auto"/>
        <w:ind w:left="1418" w:hanging="574"/>
        <w:sectPr w:rsidR="00972244" w:rsidRPr="00242171" w:rsidSect="00400FAE">
          <w:headerReference w:type="even" r:id="rId12"/>
          <w:headerReference w:type="default" r:id="rId13"/>
          <w:headerReference w:type="first" r:id="rId14"/>
          <w:pgSz w:w="11906" w:h="16838"/>
          <w:pgMar w:top="1440" w:right="1440" w:bottom="1440" w:left="1440" w:header="564" w:footer="708" w:gutter="0"/>
          <w:cols w:space="708"/>
          <w:docGrid w:linePitch="360"/>
        </w:sectPr>
      </w:pPr>
    </w:p>
    <w:p w14:paraId="63474780" w14:textId="5DEF9646" w:rsidR="000022A1" w:rsidRPr="0066646D" w:rsidRDefault="00310C08" w:rsidP="0052608A">
      <w:pPr>
        <w:rPr>
          <w:rFonts w:cs="Arial"/>
          <w:b/>
          <w:sz w:val="32"/>
        </w:rPr>
      </w:pPr>
      <w:bookmarkStart w:id="33" w:name="AppendixTitle1"/>
      <w:r w:rsidRPr="0066646D">
        <w:rPr>
          <w:rFonts w:cs="Arial"/>
          <w:b/>
          <w:sz w:val="32"/>
        </w:rPr>
        <w:t xml:space="preserve">Appendix A: </w:t>
      </w:r>
      <w:r w:rsidR="000831F9" w:rsidRPr="0066646D">
        <w:rPr>
          <w:rFonts w:cs="Arial"/>
          <w:b/>
          <w:sz w:val="32"/>
        </w:rPr>
        <w:t xml:space="preserve">Authorisation </w:t>
      </w:r>
      <w:r w:rsidR="00AF674F" w:rsidRPr="0066646D">
        <w:rPr>
          <w:rFonts w:cs="Arial"/>
          <w:b/>
          <w:sz w:val="32"/>
        </w:rPr>
        <w:t>L</w:t>
      </w:r>
      <w:r w:rsidR="000831F9" w:rsidRPr="0066646D">
        <w:rPr>
          <w:rFonts w:cs="Arial"/>
          <w:b/>
          <w:sz w:val="32"/>
        </w:rPr>
        <w:t>evels</w:t>
      </w:r>
    </w:p>
    <w:tbl>
      <w:tblPr>
        <w:tblStyle w:val="TableGrid2"/>
        <w:tblW w:w="0" w:type="auto"/>
        <w:tblLook w:val="04A0" w:firstRow="1" w:lastRow="0" w:firstColumn="1" w:lastColumn="0" w:noHBand="0" w:noVBand="1"/>
      </w:tblPr>
      <w:tblGrid>
        <w:gridCol w:w="2263"/>
        <w:gridCol w:w="2694"/>
        <w:gridCol w:w="3421"/>
        <w:gridCol w:w="4133"/>
        <w:gridCol w:w="1437"/>
      </w:tblGrid>
      <w:tr w:rsidR="000E46EE" w:rsidRPr="0066646D" w14:paraId="224FC625" w14:textId="77777777" w:rsidTr="00824E5C">
        <w:trPr>
          <w:trHeight w:val="454"/>
          <w:tblHeader/>
        </w:trPr>
        <w:tc>
          <w:tcPr>
            <w:tcW w:w="2263" w:type="dxa"/>
            <w:shd w:val="clear" w:color="auto" w:fill="347186"/>
            <w:vAlign w:val="center"/>
          </w:tcPr>
          <w:p w14:paraId="73D24148" w14:textId="77777777" w:rsidR="000E46EE" w:rsidRPr="0066646D" w:rsidRDefault="000E46EE" w:rsidP="007E7376">
            <w:pPr>
              <w:tabs>
                <w:tab w:val="center" w:pos="4513"/>
                <w:tab w:val="right" w:pos="9026"/>
              </w:tabs>
              <w:spacing w:line="276" w:lineRule="auto"/>
              <w:jc w:val="center"/>
              <w:rPr>
                <w:b/>
                <w:color w:val="FFFFFF" w:themeColor="background1"/>
              </w:rPr>
            </w:pPr>
            <w:r w:rsidRPr="0066646D">
              <w:rPr>
                <w:b/>
                <w:color w:val="FFFFFF" w:themeColor="background1"/>
              </w:rPr>
              <w:t>Duty</w:t>
            </w:r>
          </w:p>
        </w:tc>
        <w:tc>
          <w:tcPr>
            <w:tcW w:w="2694" w:type="dxa"/>
            <w:shd w:val="clear" w:color="auto" w:fill="347186"/>
            <w:vAlign w:val="center"/>
          </w:tcPr>
          <w:p w14:paraId="641F5719" w14:textId="77777777" w:rsidR="000E46EE" w:rsidRPr="0066646D" w:rsidRDefault="000E46EE" w:rsidP="007E7376">
            <w:pPr>
              <w:tabs>
                <w:tab w:val="center" w:pos="4513"/>
                <w:tab w:val="right" w:pos="9026"/>
              </w:tabs>
              <w:spacing w:line="276" w:lineRule="auto"/>
              <w:jc w:val="center"/>
              <w:rPr>
                <w:b/>
                <w:color w:val="FFFFFF" w:themeColor="background1"/>
              </w:rPr>
            </w:pPr>
            <w:r w:rsidRPr="0066646D">
              <w:rPr>
                <w:b/>
                <w:color w:val="FFFFFF" w:themeColor="background1"/>
              </w:rPr>
              <w:t>Value</w:t>
            </w:r>
          </w:p>
        </w:tc>
        <w:tc>
          <w:tcPr>
            <w:tcW w:w="3421" w:type="dxa"/>
            <w:shd w:val="clear" w:color="auto" w:fill="347186"/>
            <w:vAlign w:val="center"/>
          </w:tcPr>
          <w:p w14:paraId="215D424F" w14:textId="77777777" w:rsidR="000E46EE" w:rsidRPr="0066646D" w:rsidRDefault="000E46EE" w:rsidP="007E7376">
            <w:pPr>
              <w:tabs>
                <w:tab w:val="center" w:pos="4513"/>
                <w:tab w:val="right" w:pos="9026"/>
              </w:tabs>
              <w:spacing w:line="276" w:lineRule="auto"/>
              <w:jc w:val="center"/>
              <w:rPr>
                <w:b/>
                <w:color w:val="FFFFFF" w:themeColor="background1"/>
              </w:rPr>
            </w:pPr>
            <w:r w:rsidRPr="0066646D">
              <w:rPr>
                <w:b/>
                <w:color w:val="FFFFFF" w:themeColor="background1"/>
              </w:rPr>
              <w:t>Delegated authority</w:t>
            </w:r>
          </w:p>
        </w:tc>
        <w:tc>
          <w:tcPr>
            <w:tcW w:w="4133" w:type="dxa"/>
            <w:shd w:val="clear" w:color="auto" w:fill="347186"/>
            <w:vAlign w:val="center"/>
          </w:tcPr>
          <w:p w14:paraId="11C59D94" w14:textId="77777777" w:rsidR="000E46EE" w:rsidRPr="0066646D" w:rsidRDefault="000E46EE" w:rsidP="007E7376">
            <w:pPr>
              <w:tabs>
                <w:tab w:val="center" w:pos="4513"/>
                <w:tab w:val="right" w:pos="9026"/>
              </w:tabs>
              <w:spacing w:line="276" w:lineRule="auto"/>
              <w:jc w:val="center"/>
              <w:rPr>
                <w:b/>
                <w:color w:val="FFFFFF" w:themeColor="background1"/>
              </w:rPr>
            </w:pPr>
            <w:r w:rsidRPr="0066646D">
              <w:rPr>
                <w:b/>
                <w:color w:val="FFFFFF" w:themeColor="background1"/>
              </w:rPr>
              <w:t>Method</w:t>
            </w:r>
          </w:p>
        </w:tc>
        <w:tc>
          <w:tcPr>
            <w:tcW w:w="1437" w:type="dxa"/>
            <w:shd w:val="clear" w:color="auto" w:fill="347186"/>
            <w:vAlign w:val="center"/>
          </w:tcPr>
          <w:p w14:paraId="653AF82D" w14:textId="77777777" w:rsidR="000E46EE" w:rsidRPr="0066646D" w:rsidRDefault="000E46EE" w:rsidP="007E7376">
            <w:pPr>
              <w:tabs>
                <w:tab w:val="center" w:pos="4513"/>
                <w:tab w:val="right" w:pos="9026"/>
              </w:tabs>
              <w:spacing w:line="276" w:lineRule="auto"/>
              <w:jc w:val="center"/>
              <w:rPr>
                <w:b/>
                <w:color w:val="FFFFFF" w:themeColor="background1"/>
              </w:rPr>
            </w:pPr>
            <w:r w:rsidRPr="0066646D">
              <w:rPr>
                <w:b/>
                <w:color w:val="FFFFFF" w:themeColor="background1"/>
              </w:rPr>
              <w:t>Review period</w:t>
            </w:r>
          </w:p>
        </w:tc>
      </w:tr>
      <w:tr w:rsidR="000E46EE" w:rsidRPr="0066646D" w14:paraId="6C7235A7" w14:textId="77777777" w:rsidTr="00824E5C">
        <w:trPr>
          <w:trHeight w:val="366"/>
        </w:trPr>
        <w:tc>
          <w:tcPr>
            <w:tcW w:w="2263" w:type="dxa"/>
            <w:vMerge w:val="restart"/>
            <w:vAlign w:val="center"/>
          </w:tcPr>
          <w:p w14:paraId="69712D37" w14:textId="77777777" w:rsidR="000E46EE" w:rsidRPr="0066646D" w:rsidRDefault="000E46EE" w:rsidP="007E7376">
            <w:pPr>
              <w:tabs>
                <w:tab w:val="center" w:pos="4513"/>
                <w:tab w:val="right" w:pos="9026"/>
              </w:tabs>
              <w:spacing w:line="276" w:lineRule="auto"/>
            </w:pPr>
            <w:r w:rsidRPr="0066646D">
              <w:t xml:space="preserve">Virements of budget provision between budget headings </w:t>
            </w:r>
          </w:p>
        </w:tc>
        <w:tc>
          <w:tcPr>
            <w:tcW w:w="2694" w:type="dxa"/>
            <w:vAlign w:val="center"/>
          </w:tcPr>
          <w:p w14:paraId="35E08487" w14:textId="77777777" w:rsidR="000E46EE" w:rsidRPr="0066646D" w:rsidRDefault="000E46EE" w:rsidP="007E7376">
            <w:pPr>
              <w:tabs>
                <w:tab w:val="center" w:pos="4513"/>
                <w:tab w:val="right" w:pos="9026"/>
              </w:tabs>
              <w:spacing w:line="276" w:lineRule="auto"/>
            </w:pPr>
            <w:r w:rsidRPr="0066646D">
              <w:t>Up to £10,000</w:t>
            </w:r>
          </w:p>
        </w:tc>
        <w:tc>
          <w:tcPr>
            <w:tcW w:w="3421" w:type="dxa"/>
            <w:vAlign w:val="center"/>
          </w:tcPr>
          <w:p w14:paraId="0148F7F4" w14:textId="7551DA3B" w:rsidR="000E46EE" w:rsidRPr="0066646D" w:rsidRDefault="00242171" w:rsidP="007E7376">
            <w:pPr>
              <w:tabs>
                <w:tab w:val="center" w:pos="4513"/>
                <w:tab w:val="right" w:pos="9026"/>
              </w:tabs>
              <w:spacing w:line="276" w:lineRule="auto"/>
            </w:pPr>
            <w:r w:rsidRPr="0066646D">
              <w:t>Academy Principal</w:t>
            </w:r>
          </w:p>
        </w:tc>
        <w:tc>
          <w:tcPr>
            <w:tcW w:w="4133" w:type="dxa"/>
            <w:vMerge w:val="restart"/>
            <w:vAlign w:val="center"/>
          </w:tcPr>
          <w:p w14:paraId="675CF500" w14:textId="77777777" w:rsidR="000E46EE" w:rsidRPr="0066646D" w:rsidRDefault="000E46EE" w:rsidP="007E7376">
            <w:pPr>
              <w:tabs>
                <w:tab w:val="center" w:pos="4513"/>
                <w:tab w:val="right" w:pos="9026"/>
              </w:tabs>
              <w:spacing w:line="276" w:lineRule="auto"/>
            </w:pPr>
          </w:p>
        </w:tc>
        <w:tc>
          <w:tcPr>
            <w:tcW w:w="1437" w:type="dxa"/>
            <w:vMerge w:val="restart"/>
            <w:vAlign w:val="center"/>
          </w:tcPr>
          <w:p w14:paraId="742FE507" w14:textId="77777777" w:rsidR="000E46EE" w:rsidRPr="0066646D" w:rsidRDefault="000E46EE" w:rsidP="007E7376">
            <w:pPr>
              <w:tabs>
                <w:tab w:val="center" w:pos="4513"/>
                <w:tab w:val="right" w:pos="9026"/>
              </w:tabs>
              <w:spacing w:line="276" w:lineRule="auto"/>
              <w:jc w:val="center"/>
            </w:pPr>
            <w:r w:rsidRPr="0066646D">
              <w:t>As required</w:t>
            </w:r>
          </w:p>
        </w:tc>
      </w:tr>
      <w:tr w:rsidR="000E46EE" w:rsidRPr="0066646D" w14:paraId="42F399B2" w14:textId="77777777" w:rsidTr="00824E5C">
        <w:trPr>
          <w:trHeight w:val="365"/>
        </w:trPr>
        <w:tc>
          <w:tcPr>
            <w:tcW w:w="2263" w:type="dxa"/>
            <w:vMerge/>
            <w:vAlign w:val="center"/>
          </w:tcPr>
          <w:p w14:paraId="74812819" w14:textId="77777777" w:rsidR="000E46EE" w:rsidRPr="0066646D" w:rsidRDefault="000E46EE" w:rsidP="007E7376">
            <w:pPr>
              <w:tabs>
                <w:tab w:val="center" w:pos="4513"/>
                <w:tab w:val="right" w:pos="9026"/>
              </w:tabs>
              <w:spacing w:line="276" w:lineRule="auto"/>
            </w:pPr>
          </w:p>
        </w:tc>
        <w:tc>
          <w:tcPr>
            <w:tcW w:w="2694" w:type="dxa"/>
            <w:vAlign w:val="center"/>
          </w:tcPr>
          <w:p w14:paraId="19EC3E98" w14:textId="07FBE9FF" w:rsidR="000E46EE" w:rsidRPr="0066646D" w:rsidRDefault="000E46EE" w:rsidP="007E7376">
            <w:pPr>
              <w:tabs>
                <w:tab w:val="center" w:pos="4513"/>
                <w:tab w:val="right" w:pos="9026"/>
              </w:tabs>
              <w:spacing w:line="276" w:lineRule="auto"/>
            </w:pPr>
            <w:r w:rsidRPr="0066646D">
              <w:t>£10,001 to £</w:t>
            </w:r>
            <w:r w:rsidR="00E322FD" w:rsidRPr="0066646D">
              <w:t>4</w:t>
            </w:r>
            <w:r w:rsidRPr="0066646D">
              <w:t>0,000</w:t>
            </w:r>
          </w:p>
        </w:tc>
        <w:tc>
          <w:tcPr>
            <w:tcW w:w="3421" w:type="dxa"/>
            <w:vAlign w:val="center"/>
          </w:tcPr>
          <w:p w14:paraId="172A1C45" w14:textId="5AFB59D1" w:rsidR="000E46EE" w:rsidRPr="0066646D" w:rsidRDefault="00242171" w:rsidP="007E7376">
            <w:pPr>
              <w:tabs>
                <w:tab w:val="center" w:pos="4513"/>
                <w:tab w:val="right" w:pos="9026"/>
              </w:tabs>
              <w:spacing w:line="276" w:lineRule="auto"/>
              <w:rPr>
                <w:color w:val="000000" w:themeColor="text1"/>
              </w:rPr>
            </w:pPr>
            <w:r w:rsidRPr="0066646D">
              <w:rPr>
                <w:color w:val="000000" w:themeColor="text1"/>
              </w:rPr>
              <w:t>Academy Principal</w:t>
            </w:r>
            <w:r w:rsidR="000E46EE" w:rsidRPr="0066646D">
              <w:rPr>
                <w:color w:val="000000" w:themeColor="text1"/>
              </w:rPr>
              <w:t xml:space="preserve"> with approval from the </w:t>
            </w:r>
            <w:r w:rsidR="009758BD" w:rsidRPr="0066646D">
              <w:rPr>
                <w:color w:val="000000" w:themeColor="text1"/>
              </w:rPr>
              <w:t>Finance</w:t>
            </w:r>
            <w:r w:rsidR="000B209E" w:rsidRPr="0066646D">
              <w:rPr>
                <w:color w:val="000000" w:themeColor="text1"/>
              </w:rPr>
              <w:t xml:space="preserve"> Committee</w:t>
            </w:r>
          </w:p>
        </w:tc>
        <w:tc>
          <w:tcPr>
            <w:tcW w:w="4133" w:type="dxa"/>
            <w:vMerge/>
            <w:vAlign w:val="center"/>
          </w:tcPr>
          <w:p w14:paraId="458B4EBE" w14:textId="77777777" w:rsidR="000E46EE" w:rsidRPr="0066646D" w:rsidRDefault="000E46EE" w:rsidP="007E7376">
            <w:pPr>
              <w:tabs>
                <w:tab w:val="center" w:pos="4513"/>
                <w:tab w:val="right" w:pos="9026"/>
              </w:tabs>
              <w:spacing w:line="276" w:lineRule="auto"/>
            </w:pPr>
          </w:p>
        </w:tc>
        <w:tc>
          <w:tcPr>
            <w:tcW w:w="1437" w:type="dxa"/>
            <w:vMerge/>
            <w:vAlign w:val="center"/>
          </w:tcPr>
          <w:p w14:paraId="0C58BA66" w14:textId="77777777" w:rsidR="000E46EE" w:rsidRPr="0066646D" w:rsidRDefault="000E46EE" w:rsidP="007E7376">
            <w:pPr>
              <w:tabs>
                <w:tab w:val="center" w:pos="4513"/>
                <w:tab w:val="right" w:pos="9026"/>
              </w:tabs>
              <w:spacing w:line="276" w:lineRule="auto"/>
              <w:jc w:val="center"/>
            </w:pPr>
          </w:p>
        </w:tc>
      </w:tr>
      <w:tr w:rsidR="000E46EE" w:rsidRPr="0066646D" w14:paraId="29264A9E" w14:textId="77777777" w:rsidTr="00824E5C">
        <w:trPr>
          <w:trHeight w:val="365"/>
        </w:trPr>
        <w:tc>
          <w:tcPr>
            <w:tcW w:w="2263" w:type="dxa"/>
            <w:vMerge/>
            <w:vAlign w:val="center"/>
          </w:tcPr>
          <w:p w14:paraId="165C15D0" w14:textId="77777777" w:rsidR="000E46EE" w:rsidRPr="0066646D" w:rsidRDefault="000E46EE" w:rsidP="007E7376">
            <w:pPr>
              <w:tabs>
                <w:tab w:val="center" w:pos="4513"/>
                <w:tab w:val="right" w:pos="9026"/>
              </w:tabs>
              <w:spacing w:line="276" w:lineRule="auto"/>
            </w:pPr>
          </w:p>
        </w:tc>
        <w:tc>
          <w:tcPr>
            <w:tcW w:w="2694" w:type="dxa"/>
            <w:vAlign w:val="center"/>
          </w:tcPr>
          <w:p w14:paraId="65BD7F5D" w14:textId="234BDB01" w:rsidR="000E46EE" w:rsidRPr="0066646D" w:rsidRDefault="000E46EE" w:rsidP="007E7376">
            <w:pPr>
              <w:tabs>
                <w:tab w:val="center" w:pos="4513"/>
                <w:tab w:val="right" w:pos="9026"/>
              </w:tabs>
              <w:spacing w:line="276" w:lineRule="auto"/>
            </w:pPr>
            <w:r w:rsidRPr="0066646D">
              <w:t>Over £</w:t>
            </w:r>
            <w:r w:rsidR="00E322FD" w:rsidRPr="0066646D">
              <w:t>4</w:t>
            </w:r>
            <w:r w:rsidRPr="0066646D">
              <w:t>0,000</w:t>
            </w:r>
          </w:p>
        </w:tc>
        <w:tc>
          <w:tcPr>
            <w:tcW w:w="3421" w:type="dxa"/>
            <w:vAlign w:val="center"/>
          </w:tcPr>
          <w:p w14:paraId="31CBF278" w14:textId="703E0A05" w:rsidR="000E46EE" w:rsidRPr="0066646D" w:rsidRDefault="009758BD" w:rsidP="007E7376">
            <w:pPr>
              <w:tabs>
                <w:tab w:val="center" w:pos="4513"/>
                <w:tab w:val="right" w:pos="9026"/>
              </w:tabs>
              <w:spacing w:line="276" w:lineRule="auto"/>
              <w:rPr>
                <w:b/>
              </w:rPr>
            </w:pPr>
            <w:r w:rsidRPr="0066646D">
              <w:rPr>
                <w:color w:val="000000" w:themeColor="text1"/>
              </w:rPr>
              <w:t>Finance</w:t>
            </w:r>
            <w:r w:rsidR="000B209E" w:rsidRPr="0066646D">
              <w:rPr>
                <w:color w:val="000000" w:themeColor="text1"/>
              </w:rPr>
              <w:t xml:space="preserve"> Committee</w:t>
            </w:r>
          </w:p>
        </w:tc>
        <w:tc>
          <w:tcPr>
            <w:tcW w:w="4133" w:type="dxa"/>
            <w:vAlign w:val="center"/>
          </w:tcPr>
          <w:p w14:paraId="7821BDB5" w14:textId="772EB46A" w:rsidR="000E46EE" w:rsidRPr="0066646D" w:rsidRDefault="000E46EE" w:rsidP="007E7376">
            <w:pPr>
              <w:tabs>
                <w:tab w:val="center" w:pos="4513"/>
                <w:tab w:val="right" w:pos="9026"/>
              </w:tabs>
              <w:spacing w:line="276" w:lineRule="auto"/>
            </w:pPr>
            <w:r w:rsidRPr="0066646D">
              <w:t xml:space="preserve">Report to the </w:t>
            </w:r>
            <w:r w:rsidR="00E369E6" w:rsidRPr="0066646D">
              <w:t>board of trustees</w:t>
            </w:r>
            <w:r w:rsidRPr="0066646D">
              <w:t xml:space="preserve"> </w:t>
            </w:r>
          </w:p>
        </w:tc>
        <w:tc>
          <w:tcPr>
            <w:tcW w:w="1437" w:type="dxa"/>
            <w:vMerge/>
            <w:vAlign w:val="center"/>
          </w:tcPr>
          <w:p w14:paraId="4177B9F9" w14:textId="77777777" w:rsidR="000E46EE" w:rsidRPr="0066646D" w:rsidRDefault="000E46EE" w:rsidP="007E7376">
            <w:pPr>
              <w:tabs>
                <w:tab w:val="center" w:pos="4513"/>
                <w:tab w:val="right" w:pos="9026"/>
              </w:tabs>
              <w:spacing w:line="276" w:lineRule="auto"/>
              <w:jc w:val="center"/>
            </w:pPr>
          </w:p>
        </w:tc>
      </w:tr>
      <w:tr w:rsidR="000E46EE" w:rsidRPr="0066646D" w14:paraId="3E1CEC0A" w14:textId="77777777" w:rsidTr="00824E5C">
        <w:trPr>
          <w:trHeight w:val="147"/>
        </w:trPr>
        <w:tc>
          <w:tcPr>
            <w:tcW w:w="2263" w:type="dxa"/>
            <w:vMerge w:val="restart"/>
            <w:vAlign w:val="center"/>
          </w:tcPr>
          <w:p w14:paraId="3D095BFA" w14:textId="77777777" w:rsidR="000E46EE" w:rsidRPr="0066646D" w:rsidRDefault="000E46EE" w:rsidP="007E7376">
            <w:pPr>
              <w:tabs>
                <w:tab w:val="center" w:pos="4513"/>
                <w:tab w:val="right" w:pos="9026"/>
              </w:tabs>
              <w:spacing w:line="276" w:lineRule="auto"/>
            </w:pPr>
            <w:r w:rsidRPr="0066646D">
              <w:t>Ordering goods and services within the agreed budget</w:t>
            </w:r>
          </w:p>
        </w:tc>
        <w:tc>
          <w:tcPr>
            <w:tcW w:w="2694" w:type="dxa"/>
            <w:vAlign w:val="center"/>
          </w:tcPr>
          <w:p w14:paraId="2B1A51B9" w14:textId="5E41DFAA" w:rsidR="000E46EE" w:rsidRPr="0066646D" w:rsidRDefault="000E46EE" w:rsidP="007E7376">
            <w:pPr>
              <w:tabs>
                <w:tab w:val="center" w:pos="4513"/>
                <w:tab w:val="right" w:pos="9026"/>
              </w:tabs>
              <w:spacing w:line="276" w:lineRule="auto"/>
            </w:pPr>
            <w:r w:rsidRPr="0066646D">
              <w:t>Up to £</w:t>
            </w:r>
            <w:r w:rsidR="00E322FD" w:rsidRPr="0066646D">
              <w:t>2</w:t>
            </w:r>
            <w:r w:rsidRPr="0066646D">
              <w:t>00</w:t>
            </w:r>
            <w:r w:rsidR="00E322FD" w:rsidRPr="0066646D">
              <w:t>0</w:t>
            </w:r>
          </w:p>
        </w:tc>
        <w:tc>
          <w:tcPr>
            <w:tcW w:w="3421" w:type="dxa"/>
            <w:vAlign w:val="center"/>
          </w:tcPr>
          <w:p w14:paraId="2BBE001F" w14:textId="77777777" w:rsidR="000E46EE" w:rsidRPr="0066646D" w:rsidRDefault="000E46EE" w:rsidP="007E7376">
            <w:pPr>
              <w:tabs>
                <w:tab w:val="center" w:pos="4513"/>
                <w:tab w:val="right" w:pos="9026"/>
              </w:tabs>
              <w:spacing w:line="276" w:lineRule="auto"/>
            </w:pPr>
            <w:r w:rsidRPr="0066646D">
              <w:t>Budget holder</w:t>
            </w:r>
          </w:p>
        </w:tc>
        <w:tc>
          <w:tcPr>
            <w:tcW w:w="4133" w:type="dxa"/>
            <w:vAlign w:val="center"/>
          </w:tcPr>
          <w:p w14:paraId="33177DE7" w14:textId="7706AEA9" w:rsidR="000E46EE" w:rsidRPr="0066646D" w:rsidRDefault="000B209E" w:rsidP="007E7376">
            <w:pPr>
              <w:tabs>
                <w:tab w:val="center" w:pos="4513"/>
                <w:tab w:val="right" w:pos="9026"/>
              </w:tabs>
              <w:spacing w:line="276" w:lineRule="auto"/>
            </w:pPr>
            <w:r w:rsidRPr="0066646D">
              <w:t>Aut</w:t>
            </w:r>
            <w:r w:rsidR="00824E5C" w:rsidRPr="0066646D">
              <w:t xml:space="preserve">hority up to a commitment of a </w:t>
            </w:r>
            <w:proofErr w:type="gramStart"/>
            <w:r w:rsidRPr="0066646D">
              <w:t>12 month</w:t>
            </w:r>
            <w:proofErr w:type="gramEnd"/>
            <w:r w:rsidRPr="0066646D">
              <w:t xml:space="preserve"> period only.</w:t>
            </w:r>
            <w:r w:rsidR="000E46EE" w:rsidRPr="0066646D">
              <w:t xml:space="preserve"> </w:t>
            </w:r>
          </w:p>
        </w:tc>
        <w:tc>
          <w:tcPr>
            <w:tcW w:w="1437" w:type="dxa"/>
            <w:vMerge w:val="restart"/>
            <w:vAlign w:val="center"/>
          </w:tcPr>
          <w:p w14:paraId="2745DC30" w14:textId="77777777" w:rsidR="000E46EE" w:rsidRPr="0066646D" w:rsidRDefault="000E46EE" w:rsidP="007E7376">
            <w:pPr>
              <w:tabs>
                <w:tab w:val="center" w:pos="4513"/>
                <w:tab w:val="right" w:pos="9026"/>
              </w:tabs>
              <w:spacing w:line="276" w:lineRule="auto"/>
              <w:jc w:val="center"/>
            </w:pPr>
            <w:r w:rsidRPr="0066646D">
              <w:t>Monthly</w:t>
            </w:r>
          </w:p>
        </w:tc>
      </w:tr>
      <w:tr w:rsidR="000E46EE" w:rsidRPr="0066646D" w14:paraId="36979737" w14:textId="77777777" w:rsidTr="00824E5C">
        <w:trPr>
          <w:trHeight w:val="146"/>
        </w:trPr>
        <w:tc>
          <w:tcPr>
            <w:tcW w:w="2263" w:type="dxa"/>
            <w:vMerge/>
            <w:vAlign w:val="center"/>
          </w:tcPr>
          <w:p w14:paraId="769803DC" w14:textId="77777777" w:rsidR="000E46EE" w:rsidRPr="0066646D" w:rsidRDefault="000E46EE" w:rsidP="007E7376">
            <w:pPr>
              <w:tabs>
                <w:tab w:val="center" w:pos="4513"/>
                <w:tab w:val="right" w:pos="9026"/>
              </w:tabs>
              <w:spacing w:line="276" w:lineRule="auto"/>
            </w:pPr>
          </w:p>
        </w:tc>
        <w:tc>
          <w:tcPr>
            <w:tcW w:w="2694" w:type="dxa"/>
            <w:vAlign w:val="center"/>
          </w:tcPr>
          <w:p w14:paraId="40D91305" w14:textId="0B9BA98F" w:rsidR="000E46EE" w:rsidRPr="0066646D" w:rsidRDefault="000B209E" w:rsidP="007E7376">
            <w:pPr>
              <w:tabs>
                <w:tab w:val="center" w:pos="4513"/>
                <w:tab w:val="right" w:pos="9026"/>
              </w:tabs>
              <w:spacing w:line="276" w:lineRule="auto"/>
            </w:pPr>
            <w:r w:rsidRPr="0066646D">
              <w:t>£</w:t>
            </w:r>
            <w:r w:rsidR="00E322FD" w:rsidRPr="0066646D">
              <w:t>20</w:t>
            </w:r>
            <w:r w:rsidR="000E46EE" w:rsidRPr="0066646D">
              <w:t>01 to £</w:t>
            </w:r>
            <w:r w:rsidR="00E322FD" w:rsidRPr="0066646D">
              <w:t>5</w:t>
            </w:r>
            <w:r w:rsidR="000E46EE" w:rsidRPr="0066646D">
              <w:t>,000</w:t>
            </w:r>
          </w:p>
        </w:tc>
        <w:tc>
          <w:tcPr>
            <w:tcW w:w="3421" w:type="dxa"/>
            <w:vAlign w:val="center"/>
          </w:tcPr>
          <w:p w14:paraId="62BB89A5" w14:textId="1CCEFB1D" w:rsidR="000E46EE" w:rsidRPr="0066646D" w:rsidRDefault="000E46EE" w:rsidP="007E7376">
            <w:pPr>
              <w:tabs>
                <w:tab w:val="center" w:pos="4513"/>
                <w:tab w:val="right" w:pos="9026"/>
              </w:tabs>
              <w:spacing w:line="276" w:lineRule="auto"/>
            </w:pPr>
            <w:r w:rsidRPr="0066646D">
              <w:t>Budget holder with the approval of the</w:t>
            </w:r>
            <w:r w:rsidR="000B209E" w:rsidRPr="0066646D">
              <w:t xml:space="preserve"> </w:t>
            </w:r>
            <w:r w:rsidR="00711625" w:rsidRPr="0066646D">
              <w:t>Business Manager/Chief Financial Officer</w:t>
            </w:r>
          </w:p>
        </w:tc>
        <w:tc>
          <w:tcPr>
            <w:tcW w:w="4133" w:type="dxa"/>
            <w:vAlign w:val="center"/>
          </w:tcPr>
          <w:p w14:paraId="4F9C6F2F" w14:textId="00413305" w:rsidR="000E46EE" w:rsidRPr="0066646D" w:rsidRDefault="000E46EE" w:rsidP="007E7376">
            <w:pPr>
              <w:tabs>
                <w:tab w:val="center" w:pos="4513"/>
                <w:tab w:val="right" w:pos="9026"/>
              </w:tabs>
              <w:spacing w:line="276" w:lineRule="auto"/>
            </w:pPr>
          </w:p>
        </w:tc>
        <w:tc>
          <w:tcPr>
            <w:tcW w:w="1437" w:type="dxa"/>
            <w:vMerge/>
            <w:vAlign w:val="center"/>
          </w:tcPr>
          <w:p w14:paraId="3F623BA9" w14:textId="77777777" w:rsidR="000E46EE" w:rsidRPr="0066646D" w:rsidRDefault="000E46EE" w:rsidP="007E7376">
            <w:pPr>
              <w:tabs>
                <w:tab w:val="center" w:pos="4513"/>
                <w:tab w:val="right" w:pos="9026"/>
              </w:tabs>
              <w:spacing w:line="276" w:lineRule="auto"/>
              <w:jc w:val="center"/>
            </w:pPr>
          </w:p>
        </w:tc>
      </w:tr>
      <w:tr w:rsidR="000B209E" w:rsidRPr="0066646D" w14:paraId="0932A052" w14:textId="77777777" w:rsidTr="00824E5C">
        <w:trPr>
          <w:trHeight w:val="146"/>
        </w:trPr>
        <w:tc>
          <w:tcPr>
            <w:tcW w:w="2263" w:type="dxa"/>
            <w:vMerge/>
            <w:vAlign w:val="center"/>
          </w:tcPr>
          <w:p w14:paraId="1E466029" w14:textId="77777777" w:rsidR="000B209E" w:rsidRPr="0066646D" w:rsidRDefault="000B209E" w:rsidP="007E7376">
            <w:pPr>
              <w:tabs>
                <w:tab w:val="center" w:pos="4513"/>
                <w:tab w:val="right" w:pos="9026"/>
              </w:tabs>
            </w:pPr>
          </w:p>
        </w:tc>
        <w:tc>
          <w:tcPr>
            <w:tcW w:w="2694" w:type="dxa"/>
            <w:vAlign w:val="center"/>
          </w:tcPr>
          <w:p w14:paraId="0CE3C736" w14:textId="24D387AA" w:rsidR="000B209E" w:rsidRPr="0066646D" w:rsidRDefault="000B209E" w:rsidP="007E7376">
            <w:pPr>
              <w:tabs>
                <w:tab w:val="center" w:pos="4513"/>
                <w:tab w:val="right" w:pos="9026"/>
              </w:tabs>
            </w:pPr>
            <w:r w:rsidRPr="0066646D">
              <w:t>£</w:t>
            </w:r>
            <w:r w:rsidR="00E36457" w:rsidRPr="0066646D">
              <w:t>5</w:t>
            </w:r>
            <w:r w:rsidRPr="0066646D">
              <w:t>,001 to £10,000</w:t>
            </w:r>
          </w:p>
        </w:tc>
        <w:tc>
          <w:tcPr>
            <w:tcW w:w="3421" w:type="dxa"/>
            <w:vAlign w:val="center"/>
          </w:tcPr>
          <w:p w14:paraId="195E0C94" w14:textId="589B249A" w:rsidR="000B209E" w:rsidRPr="0066646D" w:rsidRDefault="000B209E" w:rsidP="007E7376">
            <w:pPr>
              <w:tabs>
                <w:tab w:val="center" w:pos="4513"/>
                <w:tab w:val="right" w:pos="9026"/>
              </w:tabs>
            </w:pPr>
            <w:r w:rsidRPr="0066646D">
              <w:t>Budget holder with the approval of the Academy Principal</w:t>
            </w:r>
          </w:p>
        </w:tc>
        <w:tc>
          <w:tcPr>
            <w:tcW w:w="4133" w:type="dxa"/>
            <w:vAlign w:val="center"/>
          </w:tcPr>
          <w:p w14:paraId="481558D1" w14:textId="64F0D3A7" w:rsidR="000B209E" w:rsidRPr="0066646D" w:rsidRDefault="000B209E" w:rsidP="007E7376">
            <w:pPr>
              <w:tabs>
                <w:tab w:val="center" w:pos="4513"/>
                <w:tab w:val="right" w:pos="9026"/>
              </w:tabs>
            </w:pPr>
            <w:r w:rsidRPr="0066646D">
              <w:t>Minimum of three quotes required and report to Academy Principal</w:t>
            </w:r>
          </w:p>
        </w:tc>
        <w:tc>
          <w:tcPr>
            <w:tcW w:w="1437" w:type="dxa"/>
            <w:vMerge/>
            <w:vAlign w:val="center"/>
          </w:tcPr>
          <w:p w14:paraId="75FD159A" w14:textId="77777777" w:rsidR="000B209E" w:rsidRPr="0066646D" w:rsidRDefault="000B209E" w:rsidP="007E7376">
            <w:pPr>
              <w:tabs>
                <w:tab w:val="center" w:pos="4513"/>
                <w:tab w:val="right" w:pos="9026"/>
              </w:tabs>
              <w:jc w:val="center"/>
            </w:pPr>
          </w:p>
        </w:tc>
      </w:tr>
      <w:tr w:rsidR="000E46EE" w:rsidRPr="0066646D" w14:paraId="7CA19C58" w14:textId="77777777" w:rsidTr="00824E5C">
        <w:trPr>
          <w:trHeight w:val="146"/>
        </w:trPr>
        <w:tc>
          <w:tcPr>
            <w:tcW w:w="2263" w:type="dxa"/>
            <w:vMerge/>
            <w:vAlign w:val="center"/>
          </w:tcPr>
          <w:p w14:paraId="7090E422" w14:textId="77777777" w:rsidR="000E46EE" w:rsidRPr="0066646D" w:rsidRDefault="000E46EE" w:rsidP="007E7376">
            <w:pPr>
              <w:tabs>
                <w:tab w:val="center" w:pos="4513"/>
                <w:tab w:val="right" w:pos="9026"/>
              </w:tabs>
              <w:spacing w:line="276" w:lineRule="auto"/>
            </w:pPr>
          </w:p>
        </w:tc>
        <w:tc>
          <w:tcPr>
            <w:tcW w:w="2694" w:type="dxa"/>
            <w:vAlign w:val="center"/>
          </w:tcPr>
          <w:p w14:paraId="018CCD50" w14:textId="5184C9A8" w:rsidR="000E46EE" w:rsidRPr="0066646D" w:rsidRDefault="000E46EE" w:rsidP="007E7376">
            <w:pPr>
              <w:tabs>
                <w:tab w:val="center" w:pos="4513"/>
                <w:tab w:val="right" w:pos="9026"/>
              </w:tabs>
              <w:spacing w:line="276" w:lineRule="auto"/>
            </w:pPr>
            <w:r w:rsidRPr="0066646D">
              <w:t>£</w:t>
            </w:r>
            <w:r w:rsidR="00E322FD" w:rsidRPr="0066646D">
              <w:t>1</w:t>
            </w:r>
            <w:r w:rsidRPr="0066646D">
              <w:t>0,00</w:t>
            </w:r>
            <w:r w:rsidR="00E322FD" w:rsidRPr="0066646D">
              <w:t>1 to £40,000</w:t>
            </w:r>
          </w:p>
        </w:tc>
        <w:tc>
          <w:tcPr>
            <w:tcW w:w="3421" w:type="dxa"/>
            <w:vAlign w:val="center"/>
          </w:tcPr>
          <w:p w14:paraId="11AD2B57" w14:textId="59995A1F" w:rsidR="000E46EE" w:rsidRPr="0066646D" w:rsidRDefault="00242171" w:rsidP="007E7376">
            <w:pPr>
              <w:tabs>
                <w:tab w:val="center" w:pos="4513"/>
                <w:tab w:val="right" w:pos="9026"/>
              </w:tabs>
              <w:spacing w:line="276" w:lineRule="auto"/>
              <w:rPr>
                <w:color w:val="000000" w:themeColor="text1"/>
              </w:rPr>
            </w:pPr>
            <w:r w:rsidRPr="0066646D">
              <w:rPr>
                <w:color w:val="000000" w:themeColor="text1"/>
              </w:rPr>
              <w:t>Academy Principal</w:t>
            </w:r>
            <w:r w:rsidR="000E46EE" w:rsidRPr="0066646D">
              <w:rPr>
                <w:color w:val="000000" w:themeColor="text1"/>
              </w:rPr>
              <w:t xml:space="preserve"> with the approval of the </w:t>
            </w:r>
            <w:r w:rsidR="009758BD" w:rsidRPr="0066646D">
              <w:rPr>
                <w:color w:val="000000" w:themeColor="text1"/>
              </w:rPr>
              <w:t>Finance</w:t>
            </w:r>
            <w:r w:rsidR="000B209E" w:rsidRPr="0066646D">
              <w:rPr>
                <w:color w:val="000000" w:themeColor="text1"/>
              </w:rPr>
              <w:t>s</w:t>
            </w:r>
            <w:r w:rsidR="00744D08" w:rsidRPr="0066646D">
              <w:rPr>
                <w:color w:val="000000" w:themeColor="text1"/>
              </w:rPr>
              <w:t xml:space="preserve"> </w:t>
            </w:r>
            <w:r w:rsidR="000B209E" w:rsidRPr="0066646D">
              <w:rPr>
                <w:color w:val="000000" w:themeColor="text1"/>
              </w:rPr>
              <w:t>C</w:t>
            </w:r>
            <w:r w:rsidR="00744D08" w:rsidRPr="0066646D">
              <w:rPr>
                <w:color w:val="000000" w:themeColor="text1"/>
              </w:rPr>
              <w:t>ommittee</w:t>
            </w:r>
          </w:p>
        </w:tc>
        <w:tc>
          <w:tcPr>
            <w:tcW w:w="4133" w:type="dxa"/>
            <w:vAlign w:val="center"/>
          </w:tcPr>
          <w:p w14:paraId="3B6461B4" w14:textId="3F36AE98" w:rsidR="000E46EE" w:rsidRPr="0066646D" w:rsidRDefault="000E46EE" w:rsidP="007E7376">
            <w:pPr>
              <w:tabs>
                <w:tab w:val="center" w:pos="4513"/>
                <w:tab w:val="right" w:pos="9026"/>
              </w:tabs>
              <w:spacing w:line="276" w:lineRule="auto"/>
              <w:rPr>
                <w:color w:val="000000" w:themeColor="text1"/>
              </w:rPr>
            </w:pPr>
            <w:r w:rsidRPr="0066646D">
              <w:rPr>
                <w:color w:val="000000" w:themeColor="text1"/>
              </w:rPr>
              <w:t xml:space="preserve">Minimum of three quotes required and report to </w:t>
            </w:r>
            <w:r w:rsidR="009758BD" w:rsidRPr="0066646D">
              <w:rPr>
                <w:color w:val="000000" w:themeColor="text1"/>
              </w:rPr>
              <w:t>Finance</w:t>
            </w:r>
            <w:r w:rsidR="000B209E" w:rsidRPr="0066646D">
              <w:rPr>
                <w:color w:val="000000" w:themeColor="text1"/>
              </w:rPr>
              <w:t xml:space="preserve"> Committee</w:t>
            </w:r>
            <w:r w:rsidRPr="0066646D">
              <w:rPr>
                <w:color w:val="000000" w:themeColor="text1"/>
              </w:rPr>
              <w:t xml:space="preserve">. </w:t>
            </w:r>
          </w:p>
        </w:tc>
        <w:tc>
          <w:tcPr>
            <w:tcW w:w="1437" w:type="dxa"/>
            <w:vMerge/>
            <w:vAlign w:val="center"/>
          </w:tcPr>
          <w:p w14:paraId="1505051B" w14:textId="77777777" w:rsidR="000E46EE" w:rsidRPr="0066646D" w:rsidRDefault="000E46EE" w:rsidP="007E7376">
            <w:pPr>
              <w:tabs>
                <w:tab w:val="center" w:pos="4513"/>
                <w:tab w:val="right" w:pos="9026"/>
              </w:tabs>
              <w:spacing w:line="276" w:lineRule="auto"/>
              <w:jc w:val="center"/>
            </w:pPr>
          </w:p>
        </w:tc>
      </w:tr>
      <w:tr w:rsidR="000E46EE" w:rsidRPr="0066646D" w14:paraId="2D701F9D" w14:textId="77777777" w:rsidTr="00824E5C">
        <w:trPr>
          <w:trHeight w:val="146"/>
        </w:trPr>
        <w:tc>
          <w:tcPr>
            <w:tcW w:w="2263" w:type="dxa"/>
            <w:vMerge/>
            <w:vAlign w:val="center"/>
          </w:tcPr>
          <w:p w14:paraId="5EF7DD5E" w14:textId="77777777" w:rsidR="000E46EE" w:rsidRPr="0066646D" w:rsidRDefault="000E46EE" w:rsidP="007E7376">
            <w:pPr>
              <w:tabs>
                <w:tab w:val="center" w:pos="4513"/>
                <w:tab w:val="right" w:pos="9026"/>
              </w:tabs>
              <w:spacing w:line="276" w:lineRule="auto"/>
            </w:pPr>
          </w:p>
        </w:tc>
        <w:tc>
          <w:tcPr>
            <w:tcW w:w="2694" w:type="dxa"/>
            <w:vAlign w:val="center"/>
          </w:tcPr>
          <w:p w14:paraId="65F453A9" w14:textId="2D54A43B" w:rsidR="000E46EE" w:rsidRPr="0066646D" w:rsidRDefault="000E46EE" w:rsidP="007E7376">
            <w:pPr>
              <w:tabs>
                <w:tab w:val="center" w:pos="4513"/>
                <w:tab w:val="right" w:pos="9026"/>
              </w:tabs>
              <w:spacing w:line="276" w:lineRule="auto"/>
            </w:pPr>
            <w:r w:rsidRPr="0066646D">
              <w:t>£</w:t>
            </w:r>
            <w:r w:rsidR="00E322FD" w:rsidRPr="0066646D">
              <w:t>4</w:t>
            </w:r>
            <w:r w:rsidRPr="0066646D">
              <w:t>0,001 to £100,000</w:t>
            </w:r>
          </w:p>
        </w:tc>
        <w:tc>
          <w:tcPr>
            <w:tcW w:w="3421" w:type="dxa"/>
            <w:vAlign w:val="center"/>
          </w:tcPr>
          <w:p w14:paraId="693A658A" w14:textId="1185008F" w:rsidR="000E46EE" w:rsidRPr="0066646D" w:rsidRDefault="009758BD" w:rsidP="007E7376">
            <w:pPr>
              <w:tabs>
                <w:tab w:val="center" w:pos="4513"/>
                <w:tab w:val="right" w:pos="9026"/>
              </w:tabs>
              <w:spacing w:line="276" w:lineRule="auto"/>
              <w:rPr>
                <w:color w:val="000000" w:themeColor="text1"/>
              </w:rPr>
            </w:pPr>
            <w:r w:rsidRPr="0066646D">
              <w:rPr>
                <w:color w:val="000000" w:themeColor="text1"/>
              </w:rPr>
              <w:t>Finance</w:t>
            </w:r>
            <w:r w:rsidR="000B209E" w:rsidRPr="0066646D">
              <w:rPr>
                <w:color w:val="000000" w:themeColor="text1"/>
              </w:rPr>
              <w:t xml:space="preserve"> Committee</w:t>
            </w:r>
            <w:r w:rsidR="000E46EE" w:rsidRPr="0066646D">
              <w:rPr>
                <w:color w:val="000000" w:themeColor="text1"/>
              </w:rPr>
              <w:t xml:space="preserve"> – reporting to the </w:t>
            </w:r>
            <w:r w:rsidR="00E369E6" w:rsidRPr="0066646D">
              <w:rPr>
                <w:color w:val="000000" w:themeColor="text1"/>
              </w:rPr>
              <w:t>board of trustees</w:t>
            </w:r>
            <w:r w:rsidR="000E46EE" w:rsidRPr="0066646D">
              <w:rPr>
                <w:color w:val="000000" w:themeColor="text1"/>
              </w:rPr>
              <w:t xml:space="preserve"> </w:t>
            </w:r>
          </w:p>
        </w:tc>
        <w:tc>
          <w:tcPr>
            <w:tcW w:w="4133" w:type="dxa"/>
            <w:vMerge w:val="restart"/>
            <w:vAlign w:val="center"/>
          </w:tcPr>
          <w:p w14:paraId="00565599" w14:textId="77777777" w:rsidR="000E46EE" w:rsidRPr="0066646D" w:rsidRDefault="000E46EE" w:rsidP="007E7376">
            <w:pPr>
              <w:tabs>
                <w:tab w:val="center" w:pos="4513"/>
                <w:tab w:val="right" w:pos="9026"/>
              </w:tabs>
              <w:spacing w:line="276" w:lineRule="auto"/>
              <w:rPr>
                <w:color w:val="000000" w:themeColor="text1"/>
              </w:rPr>
            </w:pPr>
            <w:r w:rsidRPr="0066646D">
              <w:rPr>
                <w:color w:val="000000" w:themeColor="text1"/>
              </w:rPr>
              <w:t>Formal tendering process, including advertising in the OJEU where necessary.</w:t>
            </w:r>
          </w:p>
        </w:tc>
        <w:tc>
          <w:tcPr>
            <w:tcW w:w="1437" w:type="dxa"/>
            <w:vMerge/>
            <w:vAlign w:val="center"/>
          </w:tcPr>
          <w:p w14:paraId="0B1E88BB" w14:textId="77777777" w:rsidR="000E46EE" w:rsidRPr="0066646D" w:rsidRDefault="000E46EE" w:rsidP="007E7376">
            <w:pPr>
              <w:tabs>
                <w:tab w:val="center" w:pos="4513"/>
                <w:tab w:val="right" w:pos="9026"/>
              </w:tabs>
              <w:spacing w:line="276" w:lineRule="auto"/>
              <w:jc w:val="center"/>
            </w:pPr>
          </w:p>
        </w:tc>
      </w:tr>
      <w:tr w:rsidR="000E46EE" w:rsidRPr="0066646D" w14:paraId="53E6C411" w14:textId="77777777" w:rsidTr="00824E5C">
        <w:trPr>
          <w:trHeight w:val="146"/>
        </w:trPr>
        <w:tc>
          <w:tcPr>
            <w:tcW w:w="2263" w:type="dxa"/>
            <w:vMerge/>
            <w:vAlign w:val="center"/>
          </w:tcPr>
          <w:p w14:paraId="41799C4C" w14:textId="77777777" w:rsidR="000E46EE" w:rsidRPr="0066646D" w:rsidRDefault="000E46EE" w:rsidP="007E7376">
            <w:pPr>
              <w:tabs>
                <w:tab w:val="center" w:pos="4513"/>
                <w:tab w:val="right" w:pos="9026"/>
              </w:tabs>
              <w:spacing w:line="276" w:lineRule="auto"/>
            </w:pPr>
          </w:p>
        </w:tc>
        <w:tc>
          <w:tcPr>
            <w:tcW w:w="2694" w:type="dxa"/>
            <w:vAlign w:val="center"/>
          </w:tcPr>
          <w:p w14:paraId="716DEB22" w14:textId="77777777" w:rsidR="000E46EE" w:rsidRPr="0066646D" w:rsidRDefault="000E46EE" w:rsidP="007E7376">
            <w:pPr>
              <w:tabs>
                <w:tab w:val="center" w:pos="4513"/>
                <w:tab w:val="right" w:pos="9026"/>
              </w:tabs>
              <w:spacing w:line="276" w:lineRule="auto"/>
            </w:pPr>
            <w:r w:rsidRPr="0066646D">
              <w:t>Over £100,000</w:t>
            </w:r>
          </w:p>
        </w:tc>
        <w:tc>
          <w:tcPr>
            <w:tcW w:w="3421" w:type="dxa"/>
            <w:vAlign w:val="center"/>
          </w:tcPr>
          <w:p w14:paraId="20E25F81" w14:textId="1A487447" w:rsidR="000E46EE" w:rsidRPr="0066646D" w:rsidRDefault="00E369E6" w:rsidP="007E7376">
            <w:pPr>
              <w:tabs>
                <w:tab w:val="center" w:pos="4513"/>
                <w:tab w:val="right" w:pos="9026"/>
              </w:tabs>
              <w:spacing w:line="276" w:lineRule="auto"/>
              <w:rPr>
                <w:color w:val="000000" w:themeColor="text1"/>
              </w:rPr>
            </w:pPr>
            <w:r w:rsidRPr="0066646D">
              <w:rPr>
                <w:color w:val="000000" w:themeColor="text1"/>
              </w:rPr>
              <w:t>Board of trustees</w:t>
            </w:r>
            <w:r w:rsidR="000E46EE" w:rsidRPr="0066646D">
              <w:rPr>
                <w:color w:val="000000" w:themeColor="text1"/>
              </w:rPr>
              <w:t xml:space="preserve"> </w:t>
            </w:r>
          </w:p>
        </w:tc>
        <w:tc>
          <w:tcPr>
            <w:tcW w:w="4133" w:type="dxa"/>
            <w:vMerge/>
            <w:vAlign w:val="center"/>
          </w:tcPr>
          <w:p w14:paraId="27769DEC" w14:textId="77777777" w:rsidR="000E46EE" w:rsidRPr="0066646D" w:rsidRDefault="000E46EE" w:rsidP="007E7376">
            <w:pPr>
              <w:tabs>
                <w:tab w:val="center" w:pos="4513"/>
                <w:tab w:val="right" w:pos="9026"/>
              </w:tabs>
              <w:spacing w:line="276" w:lineRule="auto"/>
              <w:rPr>
                <w:color w:val="000000" w:themeColor="text1"/>
              </w:rPr>
            </w:pPr>
          </w:p>
        </w:tc>
        <w:tc>
          <w:tcPr>
            <w:tcW w:w="1437" w:type="dxa"/>
            <w:vMerge/>
            <w:vAlign w:val="center"/>
          </w:tcPr>
          <w:p w14:paraId="0C953A35" w14:textId="77777777" w:rsidR="000E46EE" w:rsidRPr="0066646D" w:rsidRDefault="000E46EE" w:rsidP="007E7376">
            <w:pPr>
              <w:tabs>
                <w:tab w:val="center" w:pos="4513"/>
                <w:tab w:val="right" w:pos="9026"/>
              </w:tabs>
              <w:spacing w:line="276" w:lineRule="auto"/>
              <w:jc w:val="center"/>
            </w:pPr>
          </w:p>
        </w:tc>
      </w:tr>
      <w:tr w:rsidR="000E46EE" w:rsidRPr="0066646D" w14:paraId="59676C00" w14:textId="77777777" w:rsidTr="00824E5C">
        <w:trPr>
          <w:trHeight w:val="123"/>
        </w:trPr>
        <w:tc>
          <w:tcPr>
            <w:tcW w:w="2263" w:type="dxa"/>
            <w:vAlign w:val="center"/>
          </w:tcPr>
          <w:p w14:paraId="56FC9E96" w14:textId="67F37318" w:rsidR="000E46EE" w:rsidRPr="0066646D" w:rsidRDefault="000E46EE" w:rsidP="007E7376">
            <w:pPr>
              <w:tabs>
                <w:tab w:val="center" w:pos="4513"/>
                <w:tab w:val="right" w:pos="9026"/>
              </w:tabs>
              <w:spacing w:line="276" w:lineRule="auto"/>
            </w:pPr>
            <w:r w:rsidRPr="0066646D">
              <w:t>Signatories for cheques, BACS payment authorisations</w:t>
            </w:r>
          </w:p>
        </w:tc>
        <w:tc>
          <w:tcPr>
            <w:tcW w:w="2694" w:type="dxa"/>
            <w:vAlign w:val="center"/>
          </w:tcPr>
          <w:p w14:paraId="345CB53D" w14:textId="77777777" w:rsidR="000E46EE" w:rsidRPr="0066646D" w:rsidRDefault="000E46EE" w:rsidP="007E7376">
            <w:pPr>
              <w:tabs>
                <w:tab w:val="center" w:pos="4513"/>
                <w:tab w:val="right" w:pos="9026"/>
              </w:tabs>
              <w:spacing w:line="276" w:lineRule="auto"/>
            </w:pPr>
            <w:r w:rsidRPr="0066646D">
              <w:t>Any</w:t>
            </w:r>
          </w:p>
        </w:tc>
        <w:tc>
          <w:tcPr>
            <w:tcW w:w="3421" w:type="dxa"/>
            <w:vAlign w:val="center"/>
          </w:tcPr>
          <w:p w14:paraId="63A1A958" w14:textId="2D093A8B" w:rsidR="000E46EE" w:rsidRPr="0066646D" w:rsidRDefault="000B209E" w:rsidP="007E7376">
            <w:pPr>
              <w:tabs>
                <w:tab w:val="center" w:pos="4513"/>
                <w:tab w:val="right" w:pos="9026"/>
              </w:tabs>
              <w:spacing w:line="276" w:lineRule="auto"/>
            </w:pPr>
            <w:r w:rsidRPr="0066646D">
              <w:t xml:space="preserve">Academy Principal, Deputy Principal (x2), </w:t>
            </w:r>
            <w:r w:rsidR="00711625" w:rsidRPr="0066646D">
              <w:t>Business Manager/Chief Financial Officer</w:t>
            </w:r>
            <w:r w:rsidRPr="0066646D">
              <w:t>.</w:t>
            </w:r>
          </w:p>
        </w:tc>
        <w:tc>
          <w:tcPr>
            <w:tcW w:w="4133" w:type="dxa"/>
            <w:vAlign w:val="center"/>
          </w:tcPr>
          <w:p w14:paraId="4BEA7A0C" w14:textId="77777777" w:rsidR="000E46EE" w:rsidRPr="0066646D" w:rsidRDefault="000E46EE" w:rsidP="007E7376">
            <w:pPr>
              <w:tabs>
                <w:tab w:val="center" w:pos="4513"/>
                <w:tab w:val="right" w:pos="9026"/>
              </w:tabs>
              <w:spacing w:line="276" w:lineRule="auto"/>
            </w:pPr>
            <w:r w:rsidRPr="0066646D">
              <w:t xml:space="preserve">Two signatories per transaction are required. </w:t>
            </w:r>
          </w:p>
        </w:tc>
        <w:tc>
          <w:tcPr>
            <w:tcW w:w="1437" w:type="dxa"/>
            <w:vAlign w:val="center"/>
          </w:tcPr>
          <w:p w14:paraId="7D58F978" w14:textId="77777777" w:rsidR="000E46EE" w:rsidRPr="0066646D" w:rsidRDefault="000E46EE" w:rsidP="007E7376">
            <w:pPr>
              <w:tabs>
                <w:tab w:val="center" w:pos="4513"/>
                <w:tab w:val="right" w:pos="9026"/>
              </w:tabs>
              <w:spacing w:line="276" w:lineRule="auto"/>
              <w:jc w:val="center"/>
            </w:pPr>
            <w:r w:rsidRPr="0066646D">
              <w:t>Weekly</w:t>
            </w:r>
          </w:p>
        </w:tc>
      </w:tr>
      <w:tr w:rsidR="000B209E" w:rsidRPr="0066646D" w14:paraId="524AF71A" w14:textId="77777777" w:rsidTr="00824E5C">
        <w:trPr>
          <w:trHeight w:val="123"/>
        </w:trPr>
        <w:tc>
          <w:tcPr>
            <w:tcW w:w="2263" w:type="dxa"/>
            <w:vAlign w:val="center"/>
          </w:tcPr>
          <w:p w14:paraId="2D750BD4" w14:textId="08622AB5" w:rsidR="000B209E" w:rsidRPr="0066646D" w:rsidRDefault="000B209E" w:rsidP="007E7376">
            <w:pPr>
              <w:tabs>
                <w:tab w:val="center" w:pos="4513"/>
                <w:tab w:val="right" w:pos="9026"/>
              </w:tabs>
            </w:pPr>
            <w:r w:rsidRPr="0066646D">
              <w:t>ESFA grant claims and ESFA returns</w:t>
            </w:r>
          </w:p>
        </w:tc>
        <w:tc>
          <w:tcPr>
            <w:tcW w:w="2694" w:type="dxa"/>
            <w:vAlign w:val="center"/>
          </w:tcPr>
          <w:p w14:paraId="7E5386BC" w14:textId="77777777" w:rsidR="000B209E" w:rsidRPr="0066646D" w:rsidRDefault="000B209E" w:rsidP="007E7376">
            <w:pPr>
              <w:tabs>
                <w:tab w:val="center" w:pos="4513"/>
                <w:tab w:val="right" w:pos="9026"/>
              </w:tabs>
            </w:pPr>
          </w:p>
        </w:tc>
        <w:tc>
          <w:tcPr>
            <w:tcW w:w="3421" w:type="dxa"/>
            <w:vAlign w:val="center"/>
          </w:tcPr>
          <w:p w14:paraId="6564E420" w14:textId="6876D232" w:rsidR="000B209E" w:rsidRPr="0066646D" w:rsidRDefault="00711625" w:rsidP="007E7376">
            <w:pPr>
              <w:tabs>
                <w:tab w:val="center" w:pos="4513"/>
                <w:tab w:val="right" w:pos="9026"/>
              </w:tabs>
            </w:pPr>
            <w:r w:rsidRPr="0066646D">
              <w:t>Business Manager/Chief Financial Officer</w:t>
            </w:r>
          </w:p>
        </w:tc>
        <w:tc>
          <w:tcPr>
            <w:tcW w:w="4133" w:type="dxa"/>
            <w:vAlign w:val="center"/>
          </w:tcPr>
          <w:p w14:paraId="6A909197" w14:textId="77777777" w:rsidR="000B209E" w:rsidRPr="0066646D" w:rsidRDefault="000B209E" w:rsidP="007E7376">
            <w:pPr>
              <w:tabs>
                <w:tab w:val="center" w:pos="4513"/>
                <w:tab w:val="right" w:pos="9026"/>
              </w:tabs>
            </w:pPr>
          </w:p>
        </w:tc>
        <w:tc>
          <w:tcPr>
            <w:tcW w:w="1437" w:type="dxa"/>
            <w:vAlign w:val="center"/>
          </w:tcPr>
          <w:p w14:paraId="472E3242" w14:textId="77777777" w:rsidR="000B209E" w:rsidRPr="0066646D" w:rsidRDefault="000B209E" w:rsidP="007E7376">
            <w:pPr>
              <w:tabs>
                <w:tab w:val="center" w:pos="4513"/>
                <w:tab w:val="right" w:pos="9026"/>
              </w:tabs>
              <w:jc w:val="center"/>
            </w:pPr>
          </w:p>
        </w:tc>
      </w:tr>
      <w:tr w:rsidR="000E46EE" w:rsidRPr="0066646D" w14:paraId="44164E32" w14:textId="77777777" w:rsidTr="00824E5C">
        <w:trPr>
          <w:trHeight w:val="123"/>
        </w:trPr>
        <w:tc>
          <w:tcPr>
            <w:tcW w:w="2263" w:type="dxa"/>
            <w:vMerge w:val="restart"/>
            <w:vAlign w:val="center"/>
          </w:tcPr>
          <w:p w14:paraId="4D7ABDD8" w14:textId="77777777" w:rsidR="000E46EE" w:rsidRPr="0066646D" w:rsidRDefault="000E46EE" w:rsidP="007E7376">
            <w:pPr>
              <w:tabs>
                <w:tab w:val="center" w:pos="4513"/>
                <w:tab w:val="right" w:pos="9026"/>
              </w:tabs>
              <w:spacing w:line="276" w:lineRule="auto"/>
            </w:pPr>
            <w:r w:rsidRPr="0066646D">
              <w:t>Authorising invoices</w:t>
            </w:r>
          </w:p>
        </w:tc>
        <w:tc>
          <w:tcPr>
            <w:tcW w:w="2694" w:type="dxa"/>
            <w:vAlign w:val="center"/>
          </w:tcPr>
          <w:p w14:paraId="78D1DB3C" w14:textId="77777777" w:rsidR="000E46EE" w:rsidRPr="0066646D" w:rsidRDefault="000E46EE" w:rsidP="007E7376">
            <w:pPr>
              <w:tabs>
                <w:tab w:val="center" w:pos="4513"/>
                <w:tab w:val="right" w:pos="9026"/>
              </w:tabs>
              <w:spacing w:line="276" w:lineRule="auto"/>
            </w:pPr>
            <w:r w:rsidRPr="0066646D">
              <w:t>Up to £10,000</w:t>
            </w:r>
          </w:p>
        </w:tc>
        <w:tc>
          <w:tcPr>
            <w:tcW w:w="3421" w:type="dxa"/>
            <w:vAlign w:val="center"/>
          </w:tcPr>
          <w:p w14:paraId="25D48FD9" w14:textId="670BC189" w:rsidR="000E46EE" w:rsidRPr="0066646D" w:rsidRDefault="00242171" w:rsidP="007E7376">
            <w:pPr>
              <w:tabs>
                <w:tab w:val="center" w:pos="4513"/>
                <w:tab w:val="right" w:pos="9026"/>
              </w:tabs>
              <w:spacing w:line="276" w:lineRule="auto"/>
            </w:pPr>
            <w:r w:rsidRPr="0066646D">
              <w:t>Academy Principal</w:t>
            </w:r>
            <w:r w:rsidR="000E46EE" w:rsidRPr="0066646D">
              <w:t xml:space="preserve"> and </w:t>
            </w:r>
            <w:r w:rsidR="00711625" w:rsidRPr="0066646D">
              <w:t>Business Manager/Chief Financial Officer</w:t>
            </w:r>
          </w:p>
        </w:tc>
        <w:tc>
          <w:tcPr>
            <w:tcW w:w="4133" w:type="dxa"/>
            <w:vMerge w:val="restart"/>
            <w:vAlign w:val="center"/>
          </w:tcPr>
          <w:p w14:paraId="669F45D5" w14:textId="77777777" w:rsidR="000E46EE" w:rsidRPr="0066646D" w:rsidRDefault="000E46EE" w:rsidP="007E7376">
            <w:pPr>
              <w:tabs>
                <w:tab w:val="center" w:pos="4513"/>
                <w:tab w:val="right" w:pos="9026"/>
              </w:tabs>
              <w:spacing w:line="276" w:lineRule="auto"/>
            </w:pPr>
          </w:p>
        </w:tc>
        <w:tc>
          <w:tcPr>
            <w:tcW w:w="1437" w:type="dxa"/>
            <w:vMerge w:val="restart"/>
            <w:vAlign w:val="center"/>
          </w:tcPr>
          <w:p w14:paraId="0746D998" w14:textId="77777777" w:rsidR="000E46EE" w:rsidRPr="0066646D" w:rsidRDefault="000E46EE" w:rsidP="007E7376">
            <w:pPr>
              <w:tabs>
                <w:tab w:val="center" w:pos="4513"/>
                <w:tab w:val="right" w:pos="9026"/>
              </w:tabs>
              <w:spacing w:line="276" w:lineRule="auto"/>
              <w:jc w:val="center"/>
            </w:pPr>
            <w:r w:rsidRPr="0066646D">
              <w:t>As required</w:t>
            </w:r>
          </w:p>
        </w:tc>
      </w:tr>
      <w:tr w:rsidR="000E46EE" w:rsidRPr="0066646D" w14:paraId="149C6D8B" w14:textId="77777777" w:rsidTr="00824E5C">
        <w:trPr>
          <w:trHeight w:val="121"/>
        </w:trPr>
        <w:tc>
          <w:tcPr>
            <w:tcW w:w="2263" w:type="dxa"/>
            <w:vMerge/>
            <w:vAlign w:val="center"/>
          </w:tcPr>
          <w:p w14:paraId="26C2B3ED" w14:textId="77777777" w:rsidR="000E46EE" w:rsidRPr="0066646D" w:rsidRDefault="000E46EE" w:rsidP="007E7376">
            <w:pPr>
              <w:tabs>
                <w:tab w:val="center" w:pos="4513"/>
                <w:tab w:val="right" w:pos="9026"/>
              </w:tabs>
              <w:spacing w:line="276" w:lineRule="auto"/>
            </w:pPr>
          </w:p>
        </w:tc>
        <w:tc>
          <w:tcPr>
            <w:tcW w:w="2694" w:type="dxa"/>
            <w:vAlign w:val="center"/>
          </w:tcPr>
          <w:p w14:paraId="167D43D2" w14:textId="25748BA5" w:rsidR="000E46EE" w:rsidRPr="0066646D" w:rsidRDefault="000E46EE" w:rsidP="007E7376">
            <w:pPr>
              <w:tabs>
                <w:tab w:val="center" w:pos="4513"/>
                <w:tab w:val="right" w:pos="9026"/>
              </w:tabs>
              <w:spacing w:line="276" w:lineRule="auto"/>
            </w:pPr>
            <w:r w:rsidRPr="0066646D">
              <w:t>£10,001 to £</w:t>
            </w:r>
            <w:r w:rsidR="00E322FD" w:rsidRPr="0066646D">
              <w:t>4</w:t>
            </w:r>
            <w:r w:rsidRPr="0066646D">
              <w:t>0,000</w:t>
            </w:r>
          </w:p>
        </w:tc>
        <w:tc>
          <w:tcPr>
            <w:tcW w:w="3421" w:type="dxa"/>
            <w:vAlign w:val="center"/>
          </w:tcPr>
          <w:p w14:paraId="5E9F9605" w14:textId="799CA6DA" w:rsidR="000E46EE" w:rsidRPr="0066646D" w:rsidRDefault="00242171" w:rsidP="007E7376">
            <w:pPr>
              <w:tabs>
                <w:tab w:val="center" w:pos="4513"/>
                <w:tab w:val="right" w:pos="9026"/>
              </w:tabs>
              <w:spacing w:line="276" w:lineRule="auto"/>
              <w:rPr>
                <w:color w:val="000000" w:themeColor="text1"/>
              </w:rPr>
            </w:pPr>
            <w:r w:rsidRPr="0066646D">
              <w:rPr>
                <w:color w:val="000000" w:themeColor="text1"/>
              </w:rPr>
              <w:t>Academy Principal</w:t>
            </w:r>
            <w:r w:rsidR="000E46EE" w:rsidRPr="0066646D">
              <w:rPr>
                <w:color w:val="000000" w:themeColor="text1"/>
              </w:rPr>
              <w:t xml:space="preserve"> with approval of the </w:t>
            </w:r>
            <w:r w:rsidR="009758BD" w:rsidRPr="0066646D">
              <w:rPr>
                <w:color w:val="000000" w:themeColor="text1"/>
              </w:rPr>
              <w:t>Finance</w:t>
            </w:r>
            <w:r w:rsidR="000B209E" w:rsidRPr="0066646D">
              <w:rPr>
                <w:color w:val="000000" w:themeColor="text1"/>
              </w:rPr>
              <w:t xml:space="preserve"> Committee</w:t>
            </w:r>
          </w:p>
        </w:tc>
        <w:tc>
          <w:tcPr>
            <w:tcW w:w="4133" w:type="dxa"/>
            <w:vMerge/>
            <w:vAlign w:val="center"/>
          </w:tcPr>
          <w:p w14:paraId="2B4B29A4" w14:textId="77777777" w:rsidR="000E46EE" w:rsidRPr="0066646D" w:rsidRDefault="000E46EE" w:rsidP="007E7376">
            <w:pPr>
              <w:tabs>
                <w:tab w:val="center" w:pos="4513"/>
                <w:tab w:val="right" w:pos="9026"/>
              </w:tabs>
              <w:spacing w:line="276" w:lineRule="auto"/>
            </w:pPr>
          </w:p>
        </w:tc>
        <w:tc>
          <w:tcPr>
            <w:tcW w:w="1437" w:type="dxa"/>
            <w:vMerge/>
            <w:vAlign w:val="center"/>
          </w:tcPr>
          <w:p w14:paraId="7D893AA9" w14:textId="77777777" w:rsidR="000E46EE" w:rsidRPr="0066646D" w:rsidRDefault="000E46EE" w:rsidP="007E7376">
            <w:pPr>
              <w:tabs>
                <w:tab w:val="center" w:pos="4513"/>
                <w:tab w:val="right" w:pos="9026"/>
              </w:tabs>
              <w:spacing w:line="276" w:lineRule="auto"/>
              <w:jc w:val="center"/>
            </w:pPr>
          </w:p>
        </w:tc>
      </w:tr>
      <w:tr w:rsidR="000E46EE" w:rsidRPr="0066646D" w14:paraId="23668182" w14:textId="77777777" w:rsidTr="00824E5C">
        <w:trPr>
          <w:trHeight w:val="714"/>
        </w:trPr>
        <w:tc>
          <w:tcPr>
            <w:tcW w:w="2263" w:type="dxa"/>
            <w:vMerge/>
            <w:vAlign w:val="center"/>
          </w:tcPr>
          <w:p w14:paraId="5023229F" w14:textId="77777777" w:rsidR="000E46EE" w:rsidRPr="0066646D" w:rsidRDefault="000E46EE" w:rsidP="007E7376">
            <w:pPr>
              <w:tabs>
                <w:tab w:val="center" w:pos="4513"/>
                <w:tab w:val="right" w:pos="9026"/>
              </w:tabs>
              <w:spacing w:line="276" w:lineRule="auto"/>
            </w:pPr>
          </w:p>
        </w:tc>
        <w:tc>
          <w:tcPr>
            <w:tcW w:w="2694" w:type="dxa"/>
            <w:vAlign w:val="center"/>
          </w:tcPr>
          <w:p w14:paraId="6EF3FF48" w14:textId="3150B086" w:rsidR="000E46EE" w:rsidRPr="0066646D" w:rsidRDefault="000E46EE" w:rsidP="007E7376">
            <w:pPr>
              <w:tabs>
                <w:tab w:val="center" w:pos="4513"/>
                <w:tab w:val="right" w:pos="9026"/>
              </w:tabs>
              <w:spacing w:line="276" w:lineRule="auto"/>
            </w:pPr>
            <w:r w:rsidRPr="0066646D">
              <w:t>£</w:t>
            </w:r>
            <w:r w:rsidR="00E322FD" w:rsidRPr="0066646D">
              <w:t>4</w:t>
            </w:r>
            <w:r w:rsidRPr="0066646D">
              <w:t>0,000 to £100,000</w:t>
            </w:r>
          </w:p>
        </w:tc>
        <w:tc>
          <w:tcPr>
            <w:tcW w:w="3421" w:type="dxa"/>
            <w:vAlign w:val="center"/>
          </w:tcPr>
          <w:p w14:paraId="21955EF9" w14:textId="3F6AC6C0" w:rsidR="000E46EE" w:rsidRPr="0066646D" w:rsidRDefault="009758BD" w:rsidP="007E7376">
            <w:pPr>
              <w:tabs>
                <w:tab w:val="center" w:pos="4513"/>
                <w:tab w:val="right" w:pos="9026"/>
              </w:tabs>
              <w:spacing w:line="276" w:lineRule="auto"/>
              <w:rPr>
                <w:color w:val="000000" w:themeColor="text1"/>
              </w:rPr>
            </w:pPr>
            <w:r w:rsidRPr="0066646D">
              <w:rPr>
                <w:color w:val="000000" w:themeColor="text1"/>
              </w:rPr>
              <w:t>Finance</w:t>
            </w:r>
            <w:r w:rsidR="000B209E" w:rsidRPr="0066646D">
              <w:rPr>
                <w:color w:val="000000" w:themeColor="text1"/>
              </w:rPr>
              <w:t xml:space="preserve"> Committee</w:t>
            </w:r>
            <w:r w:rsidR="000E46EE" w:rsidRPr="0066646D">
              <w:rPr>
                <w:color w:val="000000" w:themeColor="text1"/>
              </w:rPr>
              <w:t xml:space="preserve"> – reporting to the </w:t>
            </w:r>
            <w:r w:rsidR="00E369E6" w:rsidRPr="0066646D">
              <w:rPr>
                <w:color w:val="000000" w:themeColor="text1"/>
              </w:rPr>
              <w:t>board of trustees</w:t>
            </w:r>
            <w:r w:rsidR="000E46EE" w:rsidRPr="0066646D">
              <w:rPr>
                <w:color w:val="000000" w:themeColor="text1"/>
              </w:rPr>
              <w:t xml:space="preserve"> </w:t>
            </w:r>
          </w:p>
        </w:tc>
        <w:tc>
          <w:tcPr>
            <w:tcW w:w="4133" w:type="dxa"/>
            <w:vMerge w:val="restart"/>
            <w:vAlign w:val="center"/>
          </w:tcPr>
          <w:p w14:paraId="7A694CFF" w14:textId="77777777" w:rsidR="000E46EE" w:rsidRPr="0066646D" w:rsidRDefault="000E46EE" w:rsidP="007E7376">
            <w:pPr>
              <w:tabs>
                <w:tab w:val="center" w:pos="4513"/>
                <w:tab w:val="right" w:pos="9026"/>
              </w:tabs>
              <w:spacing w:line="276" w:lineRule="auto"/>
            </w:pPr>
            <w:r w:rsidRPr="0066646D">
              <w:t>Formal tendering process, including advertising in the OJEU where necessary.</w:t>
            </w:r>
          </w:p>
        </w:tc>
        <w:tc>
          <w:tcPr>
            <w:tcW w:w="1437" w:type="dxa"/>
            <w:vMerge/>
            <w:vAlign w:val="center"/>
          </w:tcPr>
          <w:p w14:paraId="34BBCAF9" w14:textId="77777777" w:rsidR="000E46EE" w:rsidRPr="0066646D" w:rsidRDefault="000E46EE" w:rsidP="007E7376">
            <w:pPr>
              <w:tabs>
                <w:tab w:val="center" w:pos="4513"/>
                <w:tab w:val="right" w:pos="9026"/>
              </w:tabs>
              <w:spacing w:line="276" w:lineRule="auto"/>
              <w:jc w:val="center"/>
            </w:pPr>
          </w:p>
        </w:tc>
      </w:tr>
      <w:tr w:rsidR="000E46EE" w:rsidRPr="0066646D" w14:paraId="2AA7454C" w14:textId="77777777" w:rsidTr="00824E5C">
        <w:trPr>
          <w:trHeight w:val="121"/>
        </w:trPr>
        <w:tc>
          <w:tcPr>
            <w:tcW w:w="2263" w:type="dxa"/>
            <w:vMerge/>
            <w:vAlign w:val="center"/>
          </w:tcPr>
          <w:p w14:paraId="2E8323E8" w14:textId="77777777" w:rsidR="000E46EE" w:rsidRPr="0066646D" w:rsidRDefault="000E46EE" w:rsidP="007E7376">
            <w:pPr>
              <w:tabs>
                <w:tab w:val="center" w:pos="4513"/>
                <w:tab w:val="right" w:pos="9026"/>
              </w:tabs>
              <w:spacing w:line="276" w:lineRule="auto"/>
            </w:pPr>
          </w:p>
        </w:tc>
        <w:tc>
          <w:tcPr>
            <w:tcW w:w="2694" w:type="dxa"/>
            <w:vAlign w:val="center"/>
          </w:tcPr>
          <w:p w14:paraId="7805404A" w14:textId="77777777" w:rsidR="000E46EE" w:rsidRPr="0066646D" w:rsidRDefault="000E46EE" w:rsidP="007E7376">
            <w:pPr>
              <w:tabs>
                <w:tab w:val="center" w:pos="4513"/>
                <w:tab w:val="right" w:pos="9026"/>
              </w:tabs>
              <w:spacing w:line="276" w:lineRule="auto"/>
            </w:pPr>
            <w:r w:rsidRPr="0066646D">
              <w:t>Over £100,000</w:t>
            </w:r>
          </w:p>
        </w:tc>
        <w:tc>
          <w:tcPr>
            <w:tcW w:w="3421" w:type="dxa"/>
            <w:vAlign w:val="center"/>
          </w:tcPr>
          <w:p w14:paraId="7C803BE2" w14:textId="193BD2A0" w:rsidR="000E46EE" w:rsidRPr="0066646D" w:rsidRDefault="00E369E6" w:rsidP="007E7376">
            <w:pPr>
              <w:tabs>
                <w:tab w:val="center" w:pos="4513"/>
                <w:tab w:val="right" w:pos="9026"/>
              </w:tabs>
              <w:spacing w:line="276" w:lineRule="auto"/>
            </w:pPr>
            <w:r w:rsidRPr="0066646D">
              <w:t>Board of trustees</w:t>
            </w:r>
          </w:p>
        </w:tc>
        <w:tc>
          <w:tcPr>
            <w:tcW w:w="4133" w:type="dxa"/>
            <w:vMerge/>
            <w:vAlign w:val="center"/>
          </w:tcPr>
          <w:p w14:paraId="5E86479C" w14:textId="77777777" w:rsidR="000E46EE" w:rsidRPr="0066646D" w:rsidRDefault="000E46EE" w:rsidP="007E7376">
            <w:pPr>
              <w:tabs>
                <w:tab w:val="center" w:pos="4513"/>
                <w:tab w:val="right" w:pos="9026"/>
              </w:tabs>
              <w:spacing w:line="276" w:lineRule="auto"/>
            </w:pPr>
          </w:p>
        </w:tc>
        <w:tc>
          <w:tcPr>
            <w:tcW w:w="1437" w:type="dxa"/>
            <w:vMerge/>
            <w:vAlign w:val="center"/>
          </w:tcPr>
          <w:p w14:paraId="607604E9" w14:textId="77777777" w:rsidR="000E46EE" w:rsidRPr="0066646D" w:rsidRDefault="000E46EE" w:rsidP="007E7376">
            <w:pPr>
              <w:tabs>
                <w:tab w:val="center" w:pos="4513"/>
                <w:tab w:val="right" w:pos="9026"/>
              </w:tabs>
              <w:spacing w:line="276" w:lineRule="auto"/>
              <w:jc w:val="center"/>
            </w:pPr>
          </w:p>
        </w:tc>
      </w:tr>
      <w:tr w:rsidR="000E46EE" w:rsidRPr="0066646D" w14:paraId="150C72FC" w14:textId="77777777" w:rsidTr="00824E5C">
        <w:trPr>
          <w:trHeight w:val="66"/>
        </w:trPr>
        <w:tc>
          <w:tcPr>
            <w:tcW w:w="2263" w:type="dxa"/>
            <w:vMerge w:val="restart"/>
            <w:vAlign w:val="center"/>
          </w:tcPr>
          <w:p w14:paraId="6E1A489A" w14:textId="77777777" w:rsidR="000E46EE" w:rsidRPr="0066646D" w:rsidRDefault="000E46EE" w:rsidP="007E7376">
            <w:pPr>
              <w:tabs>
                <w:tab w:val="center" w:pos="4513"/>
                <w:tab w:val="right" w:pos="9026"/>
              </w:tabs>
              <w:spacing w:line="276" w:lineRule="auto"/>
            </w:pPr>
            <w:r w:rsidRPr="0066646D">
              <w:t>Collecting income</w:t>
            </w:r>
          </w:p>
        </w:tc>
        <w:tc>
          <w:tcPr>
            <w:tcW w:w="2694" w:type="dxa"/>
            <w:vAlign w:val="center"/>
          </w:tcPr>
          <w:p w14:paraId="01602D8A" w14:textId="20EB2DEA" w:rsidR="000E46EE" w:rsidRPr="0066646D" w:rsidRDefault="000E46EE" w:rsidP="007E7376">
            <w:pPr>
              <w:tabs>
                <w:tab w:val="center" w:pos="4513"/>
                <w:tab w:val="right" w:pos="9026"/>
              </w:tabs>
              <w:spacing w:line="276" w:lineRule="auto"/>
            </w:pPr>
            <w:r w:rsidRPr="0066646D">
              <w:t>Up to £</w:t>
            </w:r>
            <w:r w:rsidR="00E322FD" w:rsidRPr="0066646D">
              <w:t>10</w:t>
            </w:r>
            <w:r w:rsidRPr="0066646D">
              <w:t>,000</w:t>
            </w:r>
          </w:p>
        </w:tc>
        <w:tc>
          <w:tcPr>
            <w:tcW w:w="3421" w:type="dxa"/>
            <w:vAlign w:val="center"/>
          </w:tcPr>
          <w:p w14:paraId="61BFC8B1" w14:textId="036FA9A9" w:rsidR="000E46EE" w:rsidRPr="0066646D" w:rsidRDefault="002A12B6" w:rsidP="007E7376">
            <w:pPr>
              <w:tabs>
                <w:tab w:val="center" w:pos="4513"/>
                <w:tab w:val="right" w:pos="9026"/>
              </w:tabs>
              <w:spacing w:line="276" w:lineRule="auto"/>
            </w:pPr>
            <w:r w:rsidRPr="0066646D">
              <w:t>Finance Assistant/</w:t>
            </w:r>
            <w:r w:rsidR="00711625" w:rsidRPr="0066646D">
              <w:t>Business Manager/Chief Financial Officer</w:t>
            </w:r>
          </w:p>
        </w:tc>
        <w:tc>
          <w:tcPr>
            <w:tcW w:w="4133" w:type="dxa"/>
            <w:vMerge w:val="restart"/>
            <w:vAlign w:val="center"/>
          </w:tcPr>
          <w:p w14:paraId="15832C09" w14:textId="77777777" w:rsidR="000E46EE" w:rsidRPr="0066646D" w:rsidRDefault="000E46EE" w:rsidP="007E7376">
            <w:pPr>
              <w:tabs>
                <w:tab w:val="center" w:pos="4513"/>
                <w:tab w:val="right" w:pos="9026"/>
              </w:tabs>
              <w:spacing w:line="276" w:lineRule="auto"/>
            </w:pPr>
          </w:p>
        </w:tc>
        <w:tc>
          <w:tcPr>
            <w:tcW w:w="1437" w:type="dxa"/>
            <w:vMerge w:val="restart"/>
            <w:vAlign w:val="center"/>
          </w:tcPr>
          <w:p w14:paraId="643D0C44" w14:textId="77777777" w:rsidR="000E46EE" w:rsidRPr="0066646D" w:rsidRDefault="000E46EE" w:rsidP="007E7376">
            <w:pPr>
              <w:tabs>
                <w:tab w:val="center" w:pos="4513"/>
                <w:tab w:val="right" w:pos="9026"/>
              </w:tabs>
              <w:spacing w:line="276" w:lineRule="auto"/>
              <w:jc w:val="center"/>
            </w:pPr>
          </w:p>
        </w:tc>
      </w:tr>
      <w:tr w:rsidR="000E46EE" w:rsidRPr="0066646D" w14:paraId="27059576" w14:textId="77777777" w:rsidTr="00824E5C">
        <w:trPr>
          <w:trHeight w:val="63"/>
        </w:trPr>
        <w:tc>
          <w:tcPr>
            <w:tcW w:w="2263" w:type="dxa"/>
            <w:vMerge/>
            <w:vAlign w:val="center"/>
          </w:tcPr>
          <w:p w14:paraId="19A3DEB4" w14:textId="77777777" w:rsidR="000E46EE" w:rsidRPr="0066646D" w:rsidRDefault="000E46EE" w:rsidP="007E7376">
            <w:pPr>
              <w:tabs>
                <w:tab w:val="center" w:pos="4513"/>
                <w:tab w:val="right" w:pos="9026"/>
              </w:tabs>
              <w:spacing w:line="276" w:lineRule="auto"/>
            </w:pPr>
          </w:p>
        </w:tc>
        <w:tc>
          <w:tcPr>
            <w:tcW w:w="2694" w:type="dxa"/>
            <w:vAlign w:val="center"/>
          </w:tcPr>
          <w:p w14:paraId="3EA358DC" w14:textId="5B49AA63" w:rsidR="000E46EE" w:rsidRPr="0066646D" w:rsidRDefault="000E46EE" w:rsidP="007E7376">
            <w:pPr>
              <w:tabs>
                <w:tab w:val="center" w:pos="4513"/>
                <w:tab w:val="right" w:pos="9026"/>
              </w:tabs>
              <w:spacing w:line="276" w:lineRule="auto"/>
            </w:pPr>
            <w:r w:rsidRPr="0066646D">
              <w:t>£</w:t>
            </w:r>
            <w:r w:rsidR="00E322FD" w:rsidRPr="0066646D">
              <w:t>10</w:t>
            </w:r>
            <w:r w:rsidRPr="0066646D">
              <w:t>,001 to £</w:t>
            </w:r>
            <w:r w:rsidR="00E322FD" w:rsidRPr="0066646D">
              <w:t>4</w:t>
            </w:r>
            <w:r w:rsidRPr="0066646D">
              <w:t>0,000</w:t>
            </w:r>
          </w:p>
        </w:tc>
        <w:tc>
          <w:tcPr>
            <w:tcW w:w="3421" w:type="dxa"/>
            <w:vAlign w:val="center"/>
          </w:tcPr>
          <w:p w14:paraId="1B94D5FA" w14:textId="32DD73E0" w:rsidR="000E46EE" w:rsidRPr="0066646D" w:rsidRDefault="00242171" w:rsidP="007E7376">
            <w:pPr>
              <w:tabs>
                <w:tab w:val="center" w:pos="4513"/>
                <w:tab w:val="right" w:pos="9026"/>
              </w:tabs>
              <w:spacing w:line="276" w:lineRule="auto"/>
            </w:pPr>
            <w:r w:rsidRPr="0066646D">
              <w:t>Academy Principal</w:t>
            </w:r>
          </w:p>
        </w:tc>
        <w:tc>
          <w:tcPr>
            <w:tcW w:w="4133" w:type="dxa"/>
            <w:vMerge/>
            <w:vAlign w:val="center"/>
          </w:tcPr>
          <w:p w14:paraId="37E19A6F" w14:textId="77777777" w:rsidR="000E46EE" w:rsidRPr="0066646D" w:rsidRDefault="000E46EE" w:rsidP="007E7376">
            <w:pPr>
              <w:tabs>
                <w:tab w:val="center" w:pos="4513"/>
                <w:tab w:val="right" w:pos="9026"/>
              </w:tabs>
              <w:spacing w:line="276" w:lineRule="auto"/>
            </w:pPr>
          </w:p>
        </w:tc>
        <w:tc>
          <w:tcPr>
            <w:tcW w:w="1437" w:type="dxa"/>
            <w:vMerge/>
            <w:vAlign w:val="center"/>
          </w:tcPr>
          <w:p w14:paraId="64EE5A28" w14:textId="77777777" w:rsidR="000E46EE" w:rsidRPr="0066646D" w:rsidRDefault="000E46EE" w:rsidP="007E7376">
            <w:pPr>
              <w:tabs>
                <w:tab w:val="center" w:pos="4513"/>
                <w:tab w:val="right" w:pos="9026"/>
              </w:tabs>
              <w:spacing w:line="276" w:lineRule="auto"/>
              <w:jc w:val="center"/>
            </w:pPr>
          </w:p>
        </w:tc>
      </w:tr>
      <w:tr w:rsidR="000E46EE" w:rsidRPr="0066646D" w14:paraId="3B24D288" w14:textId="77777777" w:rsidTr="00824E5C">
        <w:trPr>
          <w:trHeight w:val="63"/>
        </w:trPr>
        <w:tc>
          <w:tcPr>
            <w:tcW w:w="2263" w:type="dxa"/>
            <w:vMerge/>
            <w:vAlign w:val="center"/>
          </w:tcPr>
          <w:p w14:paraId="1C439D0C" w14:textId="77777777" w:rsidR="000E46EE" w:rsidRPr="0066646D" w:rsidRDefault="000E46EE" w:rsidP="007E7376">
            <w:pPr>
              <w:tabs>
                <w:tab w:val="center" w:pos="4513"/>
                <w:tab w:val="right" w:pos="9026"/>
              </w:tabs>
              <w:spacing w:line="276" w:lineRule="auto"/>
            </w:pPr>
          </w:p>
        </w:tc>
        <w:tc>
          <w:tcPr>
            <w:tcW w:w="2694" w:type="dxa"/>
            <w:vAlign w:val="center"/>
          </w:tcPr>
          <w:p w14:paraId="68EC8C48" w14:textId="74FA241A" w:rsidR="000E46EE" w:rsidRPr="0066646D" w:rsidRDefault="000E46EE" w:rsidP="007E7376">
            <w:pPr>
              <w:tabs>
                <w:tab w:val="center" w:pos="4513"/>
                <w:tab w:val="right" w:pos="9026"/>
              </w:tabs>
              <w:spacing w:line="276" w:lineRule="auto"/>
            </w:pPr>
            <w:r w:rsidRPr="0066646D">
              <w:t>£</w:t>
            </w:r>
            <w:r w:rsidR="00E322FD" w:rsidRPr="0066646D">
              <w:t>4</w:t>
            </w:r>
            <w:r w:rsidRPr="0066646D">
              <w:t>0,001 to £100,000</w:t>
            </w:r>
          </w:p>
        </w:tc>
        <w:tc>
          <w:tcPr>
            <w:tcW w:w="3421" w:type="dxa"/>
            <w:vAlign w:val="center"/>
          </w:tcPr>
          <w:p w14:paraId="55CE8577" w14:textId="7DDD22AC" w:rsidR="000E46EE" w:rsidRPr="0066646D" w:rsidRDefault="009758BD" w:rsidP="007E7376">
            <w:pPr>
              <w:tabs>
                <w:tab w:val="center" w:pos="4513"/>
                <w:tab w:val="right" w:pos="9026"/>
              </w:tabs>
              <w:spacing w:line="276" w:lineRule="auto"/>
              <w:rPr>
                <w:b/>
              </w:rPr>
            </w:pPr>
            <w:r w:rsidRPr="0066646D">
              <w:rPr>
                <w:color w:val="000000" w:themeColor="text1"/>
              </w:rPr>
              <w:t>Finance</w:t>
            </w:r>
            <w:r w:rsidR="000B209E" w:rsidRPr="0066646D">
              <w:rPr>
                <w:color w:val="000000" w:themeColor="text1"/>
              </w:rPr>
              <w:t xml:space="preserve"> Committee</w:t>
            </w:r>
          </w:p>
        </w:tc>
        <w:tc>
          <w:tcPr>
            <w:tcW w:w="4133" w:type="dxa"/>
            <w:vMerge/>
            <w:vAlign w:val="center"/>
          </w:tcPr>
          <w:p w14:paraId="6EE301DD" w14:textId="77777777" w:rsidR="000E46EE" w:rsidRPr="0066646D" w:rsidRDefault="000E46EE" w:rsidP="007E7376">
            <w:pPr>
              <w:tabs>
                <w:tab w:val="center" w:pos="4513"/>
                <w:tab w:val="right" w:pos="9026"/>
              </w:tabs>
              <w:spacing w:line="276" w:lineRule="auto"/>
            </w:pPr>
          </w:p>
        </w:tc>
        <w:tc>
          <w:tcPr>
            <w:tcW w:w="1437" w:type="dxa"/>
            <w:vMerge/>
            <w:vAlign w:val="center"/>
          </w:tcPr>
          <w:p w14:paraId="15CB811C" w14:textId="77777777" w:rsidR="000E46EE" w:rsidRPr="0066646D" w:rsidRDefault="000E46EE" w:rsidP="007E7376">
            <w:pPr>
              <w:tabs>
                <w:tab w:val="center" w:pos="4513"/>
                <w:tab w:val="right" w:pos="9026"/>
              </w:tabs>
              <w:spacing w:line="276" w:lineRule="auto"/>
              <w:jc w:val="center"/>
            </w:pPr>
          </w:p>
        </w:tc>
      </w:tr>
      <w:tr w:rsidR="000E46EE" w:rsidRPr="0066646D" w14:paraId="25FE0B34" w14:textId="77777777" w:rsidTr="00824E5C">
        <w:trPr>
          <w:trHeight w:val="63"/>
        </w:trPr>
        <w:tc>
          <w:tcPr>
            <w:tcW w:w="2263" w:type="dxa"/>
            <w:vMerge/>
            <w:vAlign w:val="center"/>
          </w:tcPr>
          <w:p w14:paraId="0EAD9090" w14:textId="77777777" w:rsidR="000E46EE" w:rsidRPr="0066646D" w:rsidRDefault="000E46EE" w:rsidP="007E7376">
            <w:pPr>
              <w:tabs>
                <w:tab w:val="center" w:pos="4513"/>
                <w:tab w:val="right" w:pos="9026"/>
              </w:tabs>
              <w:spacing w:line="276" w:lineRule="auto"/>
            </w:pPr>
          </w:p>
        </w:tc>
        <w:tc>
          <w:tcPr>
            <w:tcW w:w="2694" w:type="dxa"/>
            <w:vAlign w:val="center"/>
          </w:tcPr>
          <w:p w14:paraId="338FA008" w14:textId="77777777" w:rsidR="000E46EE" w:rsidRPr="0066646D" w:rsidRDefault="000E46EE" w:rsidP="007E7376">
            <w:pPr>
              <w:tabs>
                <w:tab w:val="center" w:pos="4513"/>
                <w:tab w:val="right" w:pos="9026"/>
              </w:tabs>
              <w:spacing w:line="276" w:lineRule="auto"/>
            </w:pPr>
            <w:r w:rsidRPr="0066646D">
              <w:t>Over £100,000</w:t>
            </w:r>
          </w:p>
        </w:tc>
        <w:tc>
          <w:tcPr>
            <w:tcW w:w="3421" w:type="dxa"/>
            <w:vAlign w:val="center"/>
          </w:tcPr>
          <w:p w14:paraId="27FB23D5" w14:textId="270BFDAC" w:rsidR="000E46EE" w:rsidRPr="0066646D" w:rsidRDefault="00E369E6" w:rsidP="007E7376">
            <w:pPr>
              <w:tabs>
                <w:tab w:val="center" w:pos="4513"/>
                <w:tab w:val="right" w:pos="9026"/>
              </w:tabs>
              <w:spacing w:line="276" w:lineRule="auto"/>
            </w:pPr>
            <w:r w:rsidRPr="0066646D">
              <w:t>Board of trustees</w:t>
            </w:r>
          </w:p>
        </w:tc>
        <w:tc>
          <w:tcPr>
            <w:tcW w:w="4133" w:type="dxa"/>
            <w:vMerge/>
            <w:vAlign w:val="center"/>
          </w:tcPr>
          <w:p w14:paraId="689A5C72" w14:textId="77777777" w:rsidR="000E46EE" w:rsidRPr="0066646D" w:rsidRDefault="000E46EE" w:rsidP="007E7376">
            <w:pPr>
              <w:tabs>
                <w:tab w:val="center" w:pos="4513"/>
                <w:tab w:val="right" w:pos="9026"/>
              </w:tabs>
              <w:spacing w:line="276" w:lineRule="auto"/>
            </w:pPr>
          </w:p>
        </w:tc>
        <w:tc>
          <w:tcPr>
            <w:tcW w:w="1437" w:type="dxa"/>
            <w:vMerge/>
            <w:vAlign w:val="center"/>
          </w:tcPr>
          <w:p w14:paraId="04D978DB" w14:textId="77777777" w:rsidR="000E46EE" w:rsidRPr="0066646D" w:rsidRDefault="000E46EE" w:rsidP="007E7376">
            <w:pPr>
              <w:tabs>
                <w:tab w:val="center" w:pos="4513"/>
                <w:tab w:val="right" w:pos="9026"/>
              </w:tabs>
              <w:spacing w:line="276" w:lineRule="auto"/>
              <w:jc w:val="center"/>
            </w:pPr>
          </w:p>
        </w:tc>
      </w:tr>
      <w:tr w:rsidR="000E46EE" w:rsidRPr="0066646D" w14:paraId="2D9D895D" w14:textId="77777777" w:rsidTr="00824E5C">
        <w:trPr>
          <w:trHeight w:val="92"/>
        </w:trPr>
        <w:tc>
          <w:tcPr>
            <w:tcW w:w="2263" w:type="dxa"/>
            <w:vMerge w:val="restart"/>
            <w:vAlign w:val="center"/>
          </w:tcPr>
          <w:p w14:paraId="1E0092B9" w14:textId="77777777" w:rsidR="000E46EE" w:rsidRPr="0066646D" w:rsidRDefault="000E46EE" w:rsidP="007E7376">
            <w:pPr>
              <w:tabs>
                <w:tab w:val="center" w:pos="4513"/>
                <w:tab w:val="right" w:pos="9026"/>
              </w:tabs>
              <w:spacing w:line="276" w:lineRule="auto"/>
            </w:pPr>
            <w:r w:rsidRPr="0066646D">
              <w:t>Unbudgeted expenditure</w:t>
            </w:r>
          </w:p>
        </w:tc>
        <w:tc>
          <w:tcPr>
            <w:tcW w:w="2694" w:type="dxa"/>
            <w:vAlign w:val="center"/>
          </w:tcPr>
          <w:p w14:paraId="17098BF7" w14:textId="77777777" w:rsidR="000E46EE" w:rsidRPr="0066646D" w:rsidRDefault="000E46EE" w:rsidP="007E7376">
            <w:pPr>
              <w:tabs>
                <w:tab w:val="center" w:pos="4513"/>
                <w:tab w:val="right" w:pos="9026"/>
              </w:tabs>
              <w:spacing w:line="276" w:lineRule="auto"/>
            </w:pPr>
            <w:r w:rsidRPr="0066646D">
              <w:t>Up to £5,000</w:t>
            </w:r>
          </w:p>
        </w:tc>
        <w:tc>
          <w:tcPr>
            <w:tcW w:w="3421" w:type="dxa"/>
            <w:vAlign w:val="center"/>
          </w:tcPr>
          <w:p w14:paraId="644B4484" w14:textId="5786ADD8" w:rsidR="000E46EE" w:rsidRPr="0066646D" w:rsidRDefault="00711625" w:rsidP="007E7376">
            <w:pPr>
              <w:tabs>
                <w:tab w:val="center" w:pos="4513"/>
                <w:tab w:val="right" w:pos="9026"/>
              </w:tabs>
              <w:spacing w:line="276" w:lineRule="auto"/>
            </w:pPr>
            <w:r w:rsidRPr="0066646D">
              <w:t>Business Manager/Chief Financial Officer</w:t>
            </w:r>
          </w:p>
        </w:tc>
        <w:tc>
          <w:tcPr>
            <w:tcW w:w="4133" w:type="dxa"/>
            <w:vAlign w:val="center"/>
          </w:tcPr>
          <w:p w14:paraId="3690683A" w14:textId="77777777" w:rsidR="000E46EE" w:rsidRPr="0066646D" w:rsidRDefault="000E46EE" w:rsidP="007E7376">
            <w:pPr>
              <w:tabs>
                <w:tab w:val="center" w:pos="4513"/>
                <w:tab w:val="right" w:pos="9026"/>
              </w:tabs>
              <w:spacing w:line="276" w:lineRule="auto"/>
            </w:pPr>
          </w:p>
        </w:tc>
        <w:tc>
          <w:tcPr>
            <w:tcW w:w="1437" w:type="dxa"/>
            <w:vMerge w:val="restart"/>
            <w:vAlign w:val="center"/>
          </w:tcPr>
          <w:p w14:paraId="5CFB3E9A" w14:textId="77777777" w:rsidR="000E46EE" w:rsidRPr="0066646D" w:rsidRDefault="000E46EE" w:rsidP="007E7376">
            <w:pPr>
              <w:tabs>
                <w:tab w:val="center" w:pos="4513"/>
                <w:tab w:val="right" w:pos="9026"/>
              </w:tabs>
              <w:spacing w:line="276" w:lineRule="auto"/>
              <w:jc w:val="center"/>
            </w:pPr>
            <w:r w:rsidRPr="0066646D">
              <w:t>As required</w:t>
            </w:r>
          </w:p>
        </w:tc>
      </w:tr>
      <w:tr w:rsidR="000E46EE" w:rsidRPr="0066646D" w14:paraId="590BD35B" w14:textId="77777777" w:rsidTr="00824E5C">
        <w:trPr>
          <w:trHeight w:val="91"/>
        </w:trPr>
        <w:tc>
          <w:tcPr>
            <w:tcW w:w="2263" w:type="dxa"/>
            <w:vMerge/>
            <w:vAlign w:val="center"/>
          </w:tcPr>
          <w:p w14:paraId="0FAB9273" w14:textId="77777777" w:rsidR="000E46EE" w:rsidRPr="0066646D" w:rsidRDefault="000E46EE" w:rsidP="007E7376">
            <w:pPr>
              <w:tabs>
                <w:tab w:val="center" w:pos="4513"/>
                <w:tab w:val="right" w:pos="9026"/>
              </w:tabs>
              <w:spacing w:line="276" w:lineRule="auto"/>
            </w:pPr>
          </w:p>
        </w:tc>
        <w:tc>
          <w:tcPr>
            <w:tcW w:w="2694" w:type="dxa"/>
            <w:vAlign w:val="center"/>
          </w:tcPr>
          <w:p w14:paraId="441DFB34" w14:textId="77777777" w:rsidR="000E46EE" w:rsidRPr="0066646D" w:rsidRDefault="000E46EE" w:rsidP="007E7376">
            <w:pPr>
              <w:tabs>
                <w:tab w:val="center" w:pos="4513"/>
                <w:tab w:val="right" w:pos="9026"/>
              </w:tabs>
              <w:spacing w:line="276" w:lineRule="auto"/>
            </w:pPr>
            <w:r w:rsidRPr="0066646D">
              <w:t>Up to £15,000</w:t>
            </w:r>
          </w:p>
        </w:tc>
        <w:tc>
          <w:tcPr>
            <w:tcW w:w="3421" w:type="dxa"/>
            <w:vAlign w:val="center"/>
          </w:tcPr>
          <w:p w14:paraId="4D3AC0EC" w14:textId="19ED95E8" w:rsidR="000E46EE" w:rsidRPr="0066646D" w:rsidRDefault="00242171" w:rsidP="007E7376">
            <w:pPr>
              <w:tabs>
                <w:tab w:val="center" w:pos="4513"/>
                <w:tab w:val="right" w:pos="9026"/>
              </w:tabs>
              <w:spacing w:line="276" w:lineRule="auto"/>
            </w:pPr>
            <w:r w:rsidRPr="0066646D">
              <w:t>Academy Principal</w:t>
            </w:r>
          </w:p>
        </w:tc>
        <w:tc>
          <w:tcPr>
            <w:tcW w:w="4133" w:type="dxa"/>
            <w:vAlign w:val="center"/>
          </w:tcPr>
          <w:p w14:paraId="6207FF11" w14:textId="2D9CC334" w:rsidR="000E46EE" w:rsidRPr="0066646D" w:rsidRDefault="000E46EE" w:rsidP="007E7376">
            <w:pPr>
              <w:tabs>
                <w:tab w:val="center" w:pos="4513"/>
                <w:tab w:val="right" w:pos="9026"/>
              </w:tabs>
              <w:spacing w:line="276" w:lineRule="auto"/>
            </w:pPr>
            <w:r w:rsidRPr="0066646D">
              <w:t>Reported to the</w:t>
            </w:r>
            <w:r w:rsidR="00744D08" w:rsidRPr="0066646D">
              <w:rPr>
                <w:b/>
                <w:color w:val="FFD006"/>
                <w:u w:val="single"/>
              </w:rPr>
              <w:t xml:space="preserve"> </w:t>
            </w:r>
            <w:r w:rsidR="009758BD" w:rsidRPr="0066646D">
              <w:rPr>
                <w:color w:val="000000" w:themeColor="text1"/>
              </w:rPr>
              <w:t>Finance</w:t>
            </w:r>
            <w:r w:rsidR="000B209E" w:rsidRPr="0066646D">
              <w:rPr>
                <w:color w:val="000000" w:themeColor="text1"/>
              </w:rPr>
              <w:t xml:space="preserve"> Committee</w:t>
            </w:r>
          </w:p>
        </w:tc>
        <w:tc>
          <w:tcPr>
            <w:tcW w:w="1437" w:type="dxa"/>
            <w:vMerge/>
            <w:vAlign w:val="center"/>
          </w:tcPr>
          <w:p w14:paraId="67D10724" w14:textId="77777777" w:rsidR="000E46EE" w:rsidRPr="0066646D" w:rsidRDefault="000E46EE" w:rsidP="007E7376">
            <w:pPr>
              <w:tabs>
                <w:tab w:val="center" w:pos="4513"/>
                <w:tab w:val="right" w:pos="9026"/>
              </w:tabs>
              <w:spacing w:line="276" w:lineRule="auto"/>
              <w:jc w:val="center"/>
            </w:pPr>
          </w:p>
        </w:tc>
      </w:tr>
      <w:tr w:rsidR="000E46EE" w:rsidRPr="0066646D" w14:paraId="0DE31771" w14:textId="77777777" w:rsidTr="00824E5C">
        <w:trPr>
          <w:trHeight w:val="91"/>
        </w:trPr>
        <w:tc>
          <w:tcPr>
            <w:tcW w:w="2263" w:type="dxa"/>
            <w:vMerge/>
            <w:vAlign w:val="center"/>
          </w:tcPr>
          <w:p w14:paraId="35B83DC0" w14:textId="77777777" w:rsidR="000E46EE" w:rsidRPr="0066646D" w:rsidRDefault="000E46EE" w:rsidP="007E7376">
            <w:pPr>
              <w:tabs>
                <w:tab w:val="center" w:pos="4513"/>
                <w:tab w:val="right" w:pos="9026"/>
              </w:tabs>
              <w:spacing w:line="276" w:lineRule="auto"/>
            </w:pPr>
          </w:p>
        </w:tc>
        <w:tc>
          <w:tcPr>
            <w:tcW w:w="2694" w:type="dxa"/>
            <w:vAlign w:val="center"/>
          </w:tcPr>
          <w:p w14:paraId="7825B39B" w14:textId="50306A6F" w:rsidR="000E46EE" w:rsidRPr="0066646D" w:rsidRDefault="000E46EE" w:rsidP="007E7376">
            <w:pPr>
              <w:tabs>
                <w:tab w:val="center" w:pos="4513"/>
                <w:tab w:val="right" w:pos="9026"/>
              </w:tabs>
              <w:spacing w:line="276" w:lineRule="auto"/>
            </w:pPr>
            <w:r w:rsidRPr="0066646D">
              <w:t>£15,000 to £</w:t>
            </w:r>
            <w:r w:rsidR="00E322FD" w:rsidRPr="0066646D">
              <w:t>4</w:t>
            </w:r>
            <w:r w:rsidRPr="0066646D">
              <w:t>0,000</w:t>
            </w:r>
          </w:p>
        </w:tc>
        <w:tc>
          <w:tcPr>
            <w:tcW w:w="3421" w:type="dxa"/>
            <w:vAlign w:val="center"/>
          </w:tcPr>
          <w:p w14:paraId="59683EBD" w14:textId="0618DFA4" w:rsidR="000E46EE" w:rsidRPr="0066646D" w:rsidRDefault="009758BD" w:rsidP="007E7376">
            <w:pPr>
              <w:tabs>
                <w:tab w:val="center" w:pos="4513"/>
                <w:tab w:val="right" w:pos="9026"/>
              </w:tabs>
              <w:spacing w:line="276" w:lineRule="auto"/>
              <w:rPr>
                <w:b/>
              </w:rPr>
            </w:pPr>
            <w:r w:rsidRPr="0066646D">
              <w:rPr>
                <w:color w:val="000000" w:themeColor="text1"/>
              </w:rPr>
              <w:t>Finance</w:t>
            </w:r>
            <w:r w:rsidR="000B209E" w:rsidRPr="0066646D">
              <w:rPr>
                <w:color w:val="000000" w:themeColor="text1"/>
              </w:rPr>
              <w:t xml:space="preserve"> Committee</w:t>
            </w:r>
          </w:p>
        </w:tc>
        <w:tc>
          <w:tcPr>
            <w:tcW w:w="4133" w:type="dxa"/>
            <w:vAlign w:val="center"/>
          </w:tcPr>
          <w:p w14:paraId="0F3BB533" w14:textId="120F7625" w:rsidR="000E46EE" w:rsidRPr="0066646D" w:rsidRDefault="000E46EE" w:rsidP="007E7376">
            <w:pPr>
              <w:tabs>
                <w:tab w:val="center" w:pos="4513"/>
                <w:tab w:val="right" w:pos="9026"/>
              </w:tabs>
              <w:spacing w:line="276" w:lineRule="auto"/>
            </w:pPr>
            <w:r w:rsidRPr="0066646D">
              <w:t xml:space="preserve">Reported to the </w:t>
            </w:r>
            <w:r w:rsidR="00E369E6" w:rsidRPr="0066646D">
              <w:t>board of trustees</w:t>
            </w:r>
            <w:r w:rsidRPr="0066646D">
              <w:t>.</w:t>
            </w:r>
          </w:p>
        </w:tc>
        <w:tc>
          <w:tcPr>
            <w:tcW w:w="1437" w:type="dxa"/>
            <w:vMerge/>
            <w:vAlign w:val="center"/>
          </w:tcPr>
          <w:p w14:paraId="00A32585" w14:textId="77777777" w:rsidR="000E46EE" w:rsidRPr="0066646D" w:rsidRDefault="000E46EE" w:rsidP="007E7376">
            <w:pPr>
              <w:tabs>
                <w:tab w:val="center" w:pos="4513"/>
                <w:tab w:val="right" w:pos="9026"/>
              </w:tabs>
              <w:spacing w:line="276" w:lineRule="auto"/>
              <w:jc w:val="center"/>
            </w:pPr>
          </w:p>
        </w:tc>
      </w:tr>
      <w:tr w:rsidR="000E46EE" w:rsidRPr="0066646D" w14:paraId="17D9A2E4" w14:textId="77777777" w:rsidTr="00824E5C">
        <w:trPr>
          <w:trHeight w:val="91"/>
        </w:trPr>
        <w:tc>
          <w:tcPr>
            <w:tcW w:w="2263" w:type="dxa"/>
            <w:vMerge/>
            <w:vAlign w:val="center"/>
          </w:tcPr>
          <w:p w14:paraId="5C06FF66" w14:textId="77777777" w:rsidR="000E46EE" w:rsidRPr="0066646D" w:rsidRDefault="000E46EE" w:rsidP="007E7376">
            <w:pPr>
              <w:tabs>
                <w:tab w:val="center" w:pos="4513"/>
                <w:tab w:val="right" w:pos="9026"/>
              </w:tabs>
              <w:spacing w:line="276" w:lineRule="auto"/>
            </w:pPr>
          </w:p>
        </w:tc>
        <w:tc>
          <w:tcPr>
            <w:tcW w:w="2694" w:type="dxa"/>
            <w:vAlign w:val="center"/>
          </w:tcPr>
          <w:p w14:paraId="1380DDFC" w14:textId="18FAB905" w:rsidR="000E46EE" w:rsidRPr="0066646D" w:rsidRDefault="000E46EE" w:rsidP="007E7376">
            <w:pPr>
              <w:tabs>
                <w:tab w:val="center" w:pos="4513"/>
                <w:tab w:val="right" w:pos="9026"/>
              </w:tabs>
              <w:spacing w:line="276" w:lineRule="auto"/>
            </w:pPr>
            <w:r w:rsidRPr="0066646D">
              <w:t>Over £</w:t>
            </w:r>
            <w:r w:rsidR="00F13BFF" w:rsidRPr="0066646D">
              <w:t>4</w:t>
            </w:r>
            <w:r w:rsidRPr="0066646D">
              <w:t>0,001, but within the trust’s reserves</w:t>
            </w:r>
          </w:p>
        </w:tc>
        <w:tc>
          <w:tcPr>
            <w:tcW w:w="3421" w:type="dxa"/>
            <w:vAlign w:val="center"/>
          </w:tcPr>
          <w:p w14:paraId="51D0DA52" w14:textId="763427EE" w:rsidR="000E46EE" w:rsidRPr="0066646D" w:rsidRDefault="00E369E6" w:rsidP="007E7376">
            <w:pPr>
              <w:tabs>
                <w:tab w:val="center" w:pos="4513"/>
                <w:tab w:val="right" w:pos="9026"/>
              </w:tabs>
              <w:spacing w:line="276" w:lineRule="auto"/>
            </w:pPr>
            <w:r w:rsidRPr="0066646D">
              <w:t>Board of trustees</w:t>
            </w:r>
          </w:p>
        </w:tc>
        <w:tc>
          <w:tcPr>
            <w:tcW w:w="4133" w:type="dxa"/>
            <w:vAlign w:val="center"/>
          </w:tcPr>
          <w:p w14:paraId="54546A75" w14:textId="77777777" w:rsidR="000E46EE" w:rsidRPr="0066646D" w:rsidRDefault="000E46EE" w:rsidP="007E7376">
            <w:pPr>
              <w:tabs>
                <w:tab w:val="center" w:pos="4513"/>
                <w:tab w:val="right" w:pos="9026"/>
              </w:tabs>
              <w:spacing w:line="276" w:lineRule="auto"/>
            </w:pPr>
          </w:p>
        </w:tc>
        <w:tc>
          <w:tcPr>
            <w:tcW w:w="1437" w:type="dxa"/>
            <w:vMerge/>
            <w:vAlign w:val="center"/>
          </w:tcPr>
          <w:p w14:paraId="4584EF35" w14:textId="77777777" w:rsidR="000E46EE" w:rsidRPr="0066646D" w:rsidRDefault="000E46EE" w:rsidP="007E7376">
            <w:pPr>
              <w:tabs>
                <w:tab w:val="center" w:pos="4513"/>
                <w:tab w:val="right" w:pos="9026"/>
              </w:tabs>
              <w:spacing w:line="276" w:lineRule="auto"/>
              <w:jc w:val="center"/>
            </w:pPr>
          </w:p>
        </w:tc>
      </w:tr>
      <w:tr w:rsidR="000E46EE" w:rsidRPr="0066646D" w14:paraId="582F0279" w14:textId="77777777" w:rsidTr="00824E5C">
        <w:tc>
          <w:tcPr>
            <w:tcW w:w="2263" w:type="dxa"/>
            <w:vAlign w:val="center"/>
          </w:tcPr>
          <w:p w14:paraId="134AC81E" w14:textId="77777777" w:rsidR="000E46EE" w:rsidRPr="0066646D" w:rsidRDefault="000E46EE" w:rsidP="007E7376">
            <w:pPr>
              <w:tabs>
                <w:tab w:val="center" w:pos="4513"/>
                <w:tab w:val="right" w:pos="9026"/>
              </w:tabs>
              <w:spacing w:line="276" w:lineRule="auto"/>
            </w:pPr>
            <w:r w:rsidRPr="0066646D">
              <w:t>Banking cash and cheques</w:t>
            </w:r>
          </w:p>
        </w:tc>
        <w:tc>
          <w:tcPr>
            <w:tcW w:w="2694" w:type="dxa"/>
            <w:vAlign w:val="center"/>
          </w:tcPr>
          <w:p w14:paraId="36EBDEB9" w14:textId="77777777" w:rsidR="000E46EE" w:rsidRPr="0066646D" w:rsidRDefault="000E46EE" w:rsidP="007E7376">
            <w:pPr>
              <w:tabs>
                <w:tab w:val="center" w:pos="4513"/>
                <w:tab w:val="right" w:pos="9026"/>
              </w:tabs>
              <w:spacing w:line="276" w:lineRule="auto"/>
            </w:pPr>
            <w:r w:rsidRPr="0066646D">
              <w:t>Any</w:t>
            </w:r>
          </w:p>
        </w:tc>
        <w:tc>
          <w:tcPr>
            <w:tcW w:w="3421" w:type="dxa"/>
            <w:vAlign w:val="center"/>
          </w:tcPr>
          <w:p w14:paraId="11CC1F0D" w14:textId="305626D3" w:rsidR="000E46EE" w:rsidRPr="0066646D" w:rsidRDefault="00242171" w:rsidP="007E7376">
            <w:pPr>
              <w:tabs>
                <w:tab w:val="center" w:pos="4513"/>
                <w:tab w:val="right" w:pos="9026"/>
              </w:tabs>
              <w:spacing w:line="276" w:lineRule="auto"/>
            </w:pPr>
            <w:r w:rsidRPr="0066646D">
              <w:t>Finance Officer</w:t>
            </w:r>
          </w:p>
        </w:tc>
        <w:tc>
          <w:tcPr>
            <w:tcW w:w="4133" w:type="dxa"/>
            <w:vAlign w:val="center"/>
          </w:tcPr>
          <w:p w14:paraId="5ECFDFE8" w14:textId="0D1CDD63" w:rsidR="000E46EE" w:rsidRPr="0066646D" w:rsidRDefault="000E46EE" w:rsidP="007E7376">
            <w:pPr>
              <w:tabs>
                <w:tab w:val="center" w:pos="4513"/>
                <w:tab w:val="right" w:pos="9026"/>
              </w:tabs>
              <w:spacing w:line="276" w:lineRule="auto"/>
            </w:pPr>
            <w:r w:rsidRPr="0066646D">
              <w:t>Cash and cheques kept on the school prope</w:t>
            </w:r>
            <w:r w:rsidR="002A12B6" w:rsidRPr="0066646D">
              <w:t>rty will not accumulate above £2</w:t>
            </w:r>
            <w:r w:rsidRPr="0066646D">
              <w:t>,000. Banking will be checked and agreed by another member of staff.</w:t>
            </w:r>
          </w:p>
        </w:tc>
        <w:tc>
          <w:tcPr>
            <w:tcW w:w="1437" w:type="dxa"/>
            <w:vAlign w:val="center"/>
          </w:tcPr>
          <w:p w14:paraId="67CDAB3C" w14:textId="77777777" w:rsidR="000E46EE" w:rsidRPr="0066646D" w:rsidRDefault="000E46EE" w:rsidP="007E7376">
            <w:pPr>
              <w:tabs>
                <w:tab w:val="center" w:pos="4513"/>
                <w:tab w:val="right" w:pos="9026"/>
              </w:tabs>
              <w:spacing w:line="276" w:lineRule="auto"/>
              <w:jc w:val="center"/>
            </w:pPr>
            <w:r w:rsidRPr="0066646D">
              <w:t>As required</w:t>
            </w:r>
          </w:p>
        </w:tc>
      </w:tr>
      <w:tr w:rsidR="000E46EE" w:rsidRPr="0066646D" w14:paraId="700462B7" w14:textId="77777777" w:rsidTr="00824E5C">
        <w:trPr>
          <w:trHeight w:val="123"/>
        </w:trPr>
        <w:tc>
          <w:tcPr>
            <w:tcW w:w="2263" w:type="dxa"/>
            <w:vMerge w:val="restart"/>
            <w:vAlign w:val="center"/>
          </w:tcPr>
          <w:p w14:paraId="1E7EC875" w14:textId="77777777" w:rsidR="000E46EE" w:rsidRPr="0066646D" w:rsidRDefault="000E46EE" w:rsidP="007E7376">
            <w:pPr>
              <w:tabs>
                <w:tab w:val="center" w:pos="4513"/>
                <w:tab w:val="right" w:pos="9026"/>
              </w:tabs>
              <w:spacing w:line="276" w:lineRule="auto"/>
            </w:pPr>
            <w:r w:rsidRPr="0066646D">
              <w:t>Disposal of assets</w:t>
            </w:r>
          </w:p>
        </w:tc>
        <w:tc>
          <w:tcPr>
            <w:tcW w:w="2694" w:type="dxa"/>
            <w:vAlign w:val="center"/>
          </w:tcPr>
          <w:p w14:paraId="00DCE495" w14:textId="2C8E5625" w:rsidR="000E46EE" w:rsidRPr="0066646D" w:rsidRDefault="000E46EE" w:rsidP="007E7376">
            <w:pPr>
              <w:tabs>
                <w:tab w:val="center" w:pos="4513"/>
                <w:tab w:val="right" w:pos="9026"/>
              </w:tabs>
              <w:spacing w:line="276" w:lineRule="auto"/>
            </w:pPr>
            <w:r w:rsidRPr="0066646D">
              <w:t>Up to £</w:t>
            </w:r>
            <w:r w:rsidR="00F13BFF" w:rsidRPr="0066646D">
              <w:t>5</w:t>
            </w:r>
            <w:r w:rsidRPr="0066646D">
              <w:t>,000</w:t>
            </w:r>
          </w:p>
        </w:tc>
        <w:tc>
          <w:tcPr>
            <w:tcW w:w="3421" w:type="dxa"/>
            <w:vAlign w:val="center"/>
          </w:tcPr>
          <w:p w14:paraId="3539E4D2" w14:textId="73E5246C" w:rsidR="000E46EE" w:rsidRPr="0066646D" w:rsidRDefault="00242171" w:rsidP="007E7376">
            <w:pPr>
              <w:tabs>
                <w:tab w:val="center" w:pos="4513"/>
                <w:tab w:val="right" w:pos="9026"/>
              </w:tabs>
              <w:spacing w:line="276" w:lineRule="auto"/>
            </w:pPr>
            <w:r w:rsidRPr="0066646D">
              <w:t>Academy Principal</w:t>
            </w:r>
          </w:p>
        </w:tc>
        <w:tc>
          <w:tcPr>
            <w:tcW w:w="4133" w:type="dxa"/>
            <w:vMerge w:val="restart"/>
            <w:vAlign w:val="center"/>
          </w:tcPr>
          <w:p w14:paraId="090C2B14" w14:textId="77777777" w:rsidR="000E46EE" w:rsidRPr="0066646D" w:rsidRDefault="000E46EE" w:rsidP="007E7376">
            <w:pPr>
              <w:tabs>
                <w:tab w:val="center" w:pos="4513"/>
                <w:tab w:val="right" w:pos="9026"/>
              </w:tabs>
              <w:spacing w:line="276" w:lineRule="auto"/>
            </w:pPr>
            <w:r w:rsidRPr="0066646D">
              <w:t xml:space="preserve">Original cost, maintaining the principles of regularity, propriety and value for money. </w:t>
            </w:r>
          </w:p>
        </w:tc>
        <w:tc>
          <w:tcPr>
            <w:tcW w:w="1437" w:type="dxa"/>
            <w:vMerge w:val="restart"/>
            <w:vAlign w:val="center"/>
          </w:tcPr>
          <w:p w14:paraId="32DD54A1" w14:textId="77777777" w:rsidR="000E46EE" w:rsidRPr="0066646D" w:rsidRDefault="000E46EE" w:rsidP="007E7376">
            <w:pPr>
              <w:tabs>
                <w:tab w:val="center" w:pos="4513"/>
                <w:tab w:val="right" w:pos="9026"/>
              </w:tabs>
              <w:spacing w:line="276" w:lineRule="auto"/>
              <w:jc w:val="center"/>
            </w:pPr>
            <w:r w:rsidRPr="0066646D">
              <w:t>As required</w:t>
            </w:r>
          </w:p>
        </w:tc>
      </w:tr>
      <w:tr w:rsidR="000E46EE" w:rsidRPr="0066646D" w14:paraId="2FC9C16B" w14:textId="77777777" w:rsidTr="00824E5C">
        <w:trPr>
          <w:trHeight w:val="123"/>
        </w:trPr>
        <w:tc>
          <w:tcPr>
            <w:tcW w:w="2263" w:type="dxa"/>
            <w:vMerge/>
            <w:vAlign w:val="center"/>
          </w:tcPr>
          <w:p w14:paraId="734BEDD7" w14:textId="77777777" w:rsidR="000E46EE" w:rsidRPr="0066646D" w:rsidRDefault="000E46EE" w:rsidP="007E7376">
            <w:pPr>
              <w:tabs>
                <w:tab w:val="center" w:pos="4513"/>
                <w:tab w:val="right" w:pos="9026"/>
              </w:tabs>
              <w:spacing w:line="276" w:lineRule="auto"/>
            </w:pPr>
          </w:p>
        </w:tc>
        <w:tc>
          <w:tcPr>
            <w:tcW w:w="2694" w:type="dxa"/>
            <w:vAlign w:val="center"/>
          </w:tcPr>
          <w:p w14:paraId="42F05428" w14:textId="633DFE48" w:rsidR="000E46EE" w:rsidRPr="0066646D" w:rsidRDefault="000E46EE" w:rsidP="007E7376">
            <w:pPr>
              <w:tabs>
                <w:tab w:val="center" w:pos="4513"/>
                <w:tab w:val="right" w:pos="9026"/>
              </w:tabs>
              <w:spacing w:line="276" w:lineRule="auto"/>
            </w:pPr>
            <w:r w:rsidRPr="0066646D">
              <w:t>£</w:t>
            </w:r>
            <w:r w:rsidR="00F13BFF" w:rsidRPr="0066646D">
              <w:t>5</w:t>
            </w:r>
            <w:r w:rsidRPr="0066646D">
              <w:t>,001 to £10,000</w:t>
            </w:r>
          </w:p>
        </w:tc>
        <w:tc>
          <w:tcPr>
            <w:tcW w:w="3421" w:type="dxa"/>
            <w:vAlign w:val="center"/>
          </w:tcPr>
          <w:p w14:paraId="18D95089" w14:textId="096474B5" w:rsidR="000E46EE" w:rsidRPr="0066646D" w:rsidRDefault="009758BD" w:rsidP="007E7376">
            <w:pPr>
              <w:tabs>
                <w:tab w:val="center" w:pos="4513"/>
                <w:tab w:val="right" w:pos="9026"/>
              </w:tabs>
              <w:spacing w:line="276" w:lineRule="auto"/>
              <w:rPr>
                <w:b/>
              </w:rPr>
            </w:pPr>
            <w:r w:rsidRPr="0066646D">
              <w:rPr>
                <w:color w:val="000000" w:themeColor="text1"/>
              </w:rPr>
              <w:t>Finance</w:t>
            </w:r>
            <w:r w:rsidR="000B209E" w:rsidRPr="0066646D">
              <w:rPr>
                <w:color w:val="000000" w:themeColor="text1"/>
              </w:rPr>
              <w:t xml:space="preserve"> Committee</w:t>
            </w:r>
          </w:p>
        </w:tc>
        <w:tc>
          <w:tcPr>
            <w:tcW w:w="4133" w:type="dxa"/>
            <w:vMerge/>
            <w:vAlign w:val="center"/>
          </w:tcPr>
          <w:p w14:paraId="63F34E9D" w14:textId="77777777" w:rsidR="000E46EE" w:rsidRPr="0066646D" w:rsidRDefault="000E46EE" w:rsidP="007E7376">
            <w:pPr>
              <w:tabs>
                <w:tab w:val="center" w:pos="4513"/>
                <w:tab w:val="right" w:pos="9026"/>
              </w:tabs>
              <w:spacing w:line="276" w:lineRule="auto"/>
            </w:pPr>
          </w:p>
        </w:tc>
        <w:tc>
          <w:tcPr>
            <w:tcW w:w="1437" w:type="dxa"/>
            <w:vMerge/>
            <w:vAlign w:val="center"/>
          </w:tcPr>
          <w:p w14:paraId="081BDBBE" w14:textId="77777777" w:rsidR="000E46EE" w:rsidRPr="0066646D" w:rsidRDefault="000E46EE" w:rsidP="007E7376">
            <w:pPr>
              <w:tabs>
                <w:tab w:val="center" w:pos="4513"/>
                <w:tab w:val="right" w:pos="9026"/>
              </w:tabs>
              <w:spacing w:line="276" w:lineRule="auto"/>
              <w:jc w:val="center"/>
            </w:pPr>
          </w:p>
        </w:tc>
      </w:tr>
      <w:tr w:rsidR="000E46EE" w:rsidRPr="0066646D" w14:paraId="23CB63B1" w14:textId="77777777" w:rsidTr="00824E5C">
        <w:trPr>
          <w:trHeight w:val="121"/>
        </w:trPr>
        <w:tc>
          <w:tcPr>
            <w:tcW w:w="2263" w:type="dxa"/>
            <w:vMerge/>
            <w:vAlign w:val="center"/>
          </w:tcPr>
          <w:p w14:paraId="6A0E04F4" w14:textId="77777777" w:rsidR="000E46EE" w:rsidRPr="0066646D" w:rsidRDefault="000E46EE" w:rsidP="007E7376">
            <w:pPr>
              <w:tabs>
                <w:tab w:val="center" w:pos="4513"/>
                <w:tab w:val="right" w:pos="9026"/>
              </w:tabs>
              <w:spacing w:line="276" w:lineRule="auto"/>
            </w:pPr>
          </w:p>
        </w:tc>
        <w:tc>
          <w:tcPr>
            <w:tcW w:w="2694" w:type="dxa"/>
            <w:vAlign w:val="center"/>
          </w:tcPr>
          <w:p w14:paraId="36E0F1BD" w14:textId="77777777" w:rsidR="000E46EE" w:rsidRPr="0066646D" w:rsidRDefault="000E46EE" w:rsidP="007E7376">
            <w:pPr>
              <w:tabs>
                <w:tab w:val="center" w:pos="4513"/>
                <w:tab w:val="right" w:pos="9026"/>
              </w:tabs>
              <w:spacing w:line="276" w:lineRule="auto"/>
            </w:pPr>
            <w:r w:rsidRPr="0066646D">
              <w:t>Over £10,000</w:t>
            </w:r>
          </w:p>
        </w:tc>
        <w:tc>
          <w:tcPr>
            <w:tcW w:w="3421" w:type="dxa"/>
            <w:vAlign w:val="center"/>
          </w:tcPr>
          <w:p w14:paraId="6EA6A51E" w14:textId="49ECC208" w:rsidR="000E46EE" w:rsidRPr="0066646D" w:rsidRDefault="00E369E6" w:rsidP="007E7376">
            <w:pPr>
              <w:tabs>
                <w:tab w:val="center" w:pos="4513"/>
                <w:tab w:val="right" w:pos="9026"/>
              </w:tabs>
              <w:spacing w:line="276" w:lineRule="auto"/>
            </w:pPr>
            <w:r w:rsidRPr="0066646D">
              <w:t>Board of trustees</w:t>
            </w:r>
          </w:p>
        </w:tc>
        <w:tc>
          <w:tcPr>
            <w:tcW w:w="4133" w:type="dxa"/>
            <w:vMerge/>
            <w:vAlign w:val="center"/>
          </w:tcPr>
          <w:p w14:paraId="0A19585A" w14:textId="77777777" w:rsidR="000E46EE" w:rsidRPr="0066646D" w:rsidRDefault="000E46EE" w:rsidP="007E7376">
            <w:pPr>
              <w:tabs>
                <w:tab w:val="center" w:pos="4513"/>
                <w:tab w:val="right" w:pos="9026"/>
              </w:tabs>
              <w:spacing w:line="276" w:lineRule="auto"/>
            </w:pPr>
          </w:p>
        </w:tc>
        <w:tc>
          <w:tcPr>
            <w:tcW w:w="1437" w:type="dxa"/>
            <w:vMerge/>
            <w:vAlign w:val="center"/>
          </w:tcPr>
          <w:p w14:paraId="095F3044" w14:textId="77777777" w:rsidR="000E46EE" w:rsidRPr="0066646D" w:rsidRDefault="000E46EE" w:rsidP="007E7376">
            <w:pPr>
              <w:tabs>
                <w:tab w:val="center" w:pos="4513"/>
                <w:tab w:val="right" w:pos="9026"/>
              </w:tabs>
              <w:spacing w:line="276" w:lineRule="auto"/>
              <w:jc w:val="center"/>
            </w:pPr>
          </w:p>
        </w:tc>
      </w:tr>
      <w:tr w:rsidR="000E46EE" w:rsidRPr="0066646D" w14:paraId="37076AC0" w14:textId="77777777" w:rsidTr="00824E5C">
        <w:trPr>
          <w:trHeight w:val="121"/>
        </w:trPr>
        <w:tc>
          <w:tcPr>
            <w:tcW w:w="2263" w:type="dxa"/>
            <w:vMerge/>
            <w:vAlign w:val="center"/>
          </w:tcPr>
          <w:p w14:paraId="4CBC3F9D" w14:textId="77777777" w:rsidR="000E46EE" w:rsidRPr="0066646D" w:rsidRDefault="000E46EE" w:rsidP="007E7376">
            <w:pPr>
              <w:tabs>
                <w:tab w:val="center" w:pos="4513"/>
                <w:tab w:val="right" w:pos="9026"/>
              </w:tabs>
              <w:spacing w:line="276" w:lineRule="auto"/>
            </w:pPr>
          </w:p>
        </w:tc>
        <w:tc>
          <w:tcPr>
            <w:tcW w:w="2694" w:type="dxa"/>
            <w:vAlign w:val="center"/>
          </w:tcPr>
          <w:p w14:paraId="6CE13A5B" w14:textId="77777777" w:rsidR="000E46EE" w:rsidRPr="0066646D" w:rsidRDefault="000E46EE" w:rsidP="007E7376">
            <w:pPr>
              <w:tabs>
                <w:tab w:val="center" w:pos="4513"/>
                <w:tab w:val="right" w:pos="9026"/>
              </w:tabs>
              <w:spacing w:line="276" w:lineRule="auto"/>
            </w:pPr>
            <w:r w:rsidRPr="0066646D">
              <w:t>Over £45,000</w:t>
            </w:r>
          </w:p>
        </w:tc>
        <w:tc>
          <w:tcPr>
            <w:tcW w:w="3421" w:type="dxa"/>
            <w:vAlign w:val="center"/>
          </w:tcPr>
          <w:p w14:paraId="1788AA79" w14:textId="1ADC8E64" w:rsidR="000E46EE" w:rsidRPr="0066646D" w:rsidRDefault="00E369E6" w:rsidP="007E7376">
            <w:pPr>
              <w:tabs>
                <w:tab w:val="center" w:pos="4513"/>
                <w:tab w:val="right" w:pos="9026"/>
              </w:tabs>
              <w:spacing w:line="276" w:lineRule="auto"/>
            </w:pPr>
            <w:r w:rsidRPr="0066646D">
              <w:t>Board of trustees</w:t>
            </w:r>
          </w:p>
        </w:tc>
        <w:tc>
          <w:tcPr>
            <w:tcW w:w="4133" w:type="dxa"/>
            <w:vMerge/>
            <w:vAlign w:val="center"/>
          </w:tcPr>
          <w:p w14:paraId="7100AFB5" w14:textId="77777777" w:rsidR="000E46EE" w:rsidRPr="0066646D" w:rsidRDefault="000E46EE" w:rsidP="007E7376">
            <w:pPr>
              <w:tabs>
                <w:tab w:val="center" w:pos="4513"/>
                <w:tab w:val="right" w:pos="9026"/>
              </w:tabs>
              <w:spacing w:line="276" w:lineRule="auto"/>
            </w:pPr>
          </w:p>
        </w:tc>
        <w:tc>
          <w:tcPr>
            <w:tcW w:w="1437" w:type="dxa"/>
            <w:vMerge/>
            <w:vAlign w:val="center"/>
          </w:tcPr>
          <w:p w14:paraId="4261A518" w14:textId="77777777" w:rsidR="000E46EE" w:rsidRPr="0066646D" w:rsidRDefault="000E46EE" w:rsidP="007E7376">
            <w:pPr>
              <w:tabs>
                <w:tab w:val="center" w:pos="4513"/>
                <w:tab w:val="right" w:pos="9026"/>
              </w:tabs>
              <w:spacing w:line="276" w:lineRule="auto"/>
              <w:jc w:val="center"/>
            </w:pPr>
          </w:p>
        </w:tc>
      </w:tr>
      <w:tr w:rsidR="000E46EE" w:rsidRPr="0066646D" w14:paraId="61830009" w14:textId="77777777" w:rsidTr="00824E5C">
        <w:trPr>
          <w:trHeight w:val="121"/>
        </w:trPr>
        <w:tc>
          <w:tcPr>
            <w:tcW w:w="2263" w:type="dxa"/>
            <w:vMerge/>
            <w:vAlign w:val="center"/>
          </w:tcPr>
          <w:p w14:paraId="32972A35" w14:textId="77777777" w:rsidR="000E46EE" w:rsidRPr="0066646D" w:rsidRDefault="000E46EE" w:rsidP="007E7376">
            <w:pPr>
              <w:tabs>
                <w:tab w:val="center" w:pos="4513"/>
                <w:tab w:val="right" w:pos="9026"/>
              </w:tabs>
              <w:spacing w:line="276" w:lineRule="auto"/>
            </w:pPr>
          </w:p>
        </w:tc>
        <w:tc>
          <w:tcPr>
            <w:tcW w:w="2694" w:type="dxa"/>
            <w:vAlign w:val="center"/>
          </w:tcPr>
          <w:p w14:paraId="6C3B00A7" w14:textId="77777777" w:rsidR="000E46EE" w:rsidRPr="0066646D" w:rsidRDefault="000E46EE" w:rsidP="007E7376">
            <w:pPr>
              <w:tabs>
                <w:tab w:val="center" w:pos="4513"/>
                <w:tab w:val="right" w:pos="9026"/>
              </w:tabs>
              <w:spacing w:line="276" w:lineRule="auto"/>
            </w:pPr>
            <w:r w:rsidRPr="0066646D">
              <w:t>Land, buildings and heritage assets</w:t>
            </w:r>
          </w:p>
        </w:tc>
        <w:tc>
          <w:tcPr>
            <w:tcW w:w="3421" w:type="dxa"/>
            <w:vAlign w:val="center"/>
          </w:tcPr>
          <w:p w14:paraId="2E94F8DC" w14:textId="70048CAF" w:rsidR="000E46EE" w:rsidRPr="0066646D" w:rsidRDefault="00E369E6" w:rsidP="007E7376">
            <w:pPr>
              <w:tabs>
                <w:tab w:val="center" w:pos="4513"/>
                <w:tab w:val="right" w:pos="9026"/>
              </w:tabs>
              <w:spacing w:line="276" w:lineRule="auto"/>
            </w:pPr>
            <w:r w:rsidRPr="0066646D">
              <w:t>Board of trustees</w:t>
            </w:r>
            <w:r w:rsidR="000E46EE" w:rsidRPr="0066646D">
              <w:t xml:space="preserve"> plus prior written approval of the ESFA</w:t>
            </w:r>
          </w:p>
        </w:tc>
        <w:tc>
          <w:tcPr>
            <w:tcW w:w="4133" w:type="dxa"/>
            <w:vMerge/>
            <w:vAlign w:val="center"/>
          </w:tcPr>
          <w:p w14:paraId="241BE2DF" w14:textId="77777777" w:rsidR="000E46EE" w:rsidRPr="0066646D" w:rsidRDefault="000E46EE" w:rsidP="007E7376">
            <w:pPr>
              <w:tabs>
                <w:tab w:val="center" w:pos="4513"/>
                <w:tab w:val="right" w:pos="9026"/>
              </w:tabs>
              <w:spacing w:line="276" w:lineRule="auto"/>
            </w:pPr>
          </w:p>
        </w:tc>
        <w:tc>
          <w:tcPr>
            <w:tcW w:w="1437" w:type="dxa"/>
            <w:vMerge/>
            <w:vAlign w:val="center"/>
          </w:tcPr>
          <w:p w14:paraId="5CDB3B69" w14:textId="77777777" w:rsidR="000E46EE" w:rsidRPr="0066646D" w:rsidRDefault="000E46EE" w:rsidP="007E7376">
            <w:pPr>
              <w:tabs>
                <w:tab w:val="center" w:pos="4513"/>
                <w:tab w:val="right" w:pos="9026"/>
              </w:tabs>
              <w:spacing w:line="276" w:lineRule="auto"/>
              <w:jc w:val="center"/>
            </w:pPr>
          </w:p>
        </w:tc>
      </w:tr>
      <w:tr w:rsidR="000E46EE" w:rsidRPr="0066646D" w14:paraId="548A0AF0" w14:textId="77777777" w:rsidTr="00824E5C">
        <w:trPr>
          <w:trHeight w:val="121"/>
        </w:trPr>
        <w:tc>
          <w:tcPr>
            <w:tcW w:w="2263" w:type="dxa"/>
            <w:vAlign w:val="center"/>
          </w:tcPr>
          <w:p w14:paraId="79A551C0" w14:textId="77777777" w:rsidR="000E46EE" w:rsidRPr="0066646D" w:rsidRDefault="000E46EE" w:rsidP="007E7376">
            <w:pPr>
              <w:tabs>
                <w:tab w:val="center" w:pos="4513"/>
                <w:tab w:val="right" w:pos="9026"/>
              </w:tabs>
              <w:spacing w:line="276" w:lineRule="auto"/>
            </w:pPr>
            <w:r w:rsidRPr="0066646D">
              <w:t>Acquiring of assets</w:t>
            </w:r>
          </w:p>
        </w:tc>
        <w:tc>
          <w:tcPr>
            <w:tcW w:w="2694" w:type="dxa"/>
            <w:vAlign w:val="center"/>
          </w:tcPr>
          <w:p w14:paraId="563E35F3" w14:textId="77777777" w:rsidR="000E46EE" w:rsidRPr="0066646D" w:rsidRDefault="000E46EE" w:rsidP="007E7376">
            <w:pPr>
              <w:tabs>
                <w:tab w:val="center" w:pos="4513"/>
                <w:tab w:val="right" w:pos="9026"/>
              </w:tabs>
              <w:spacing w:line="276" w:lineRule="auto"/>
            </w:pPr>
            <w:r w:rsidRPr="0066646D">
              <w:t>Freehold of land or buildings</w:t>
            </w:r>
          </w:p>
        </w:tc>
        <w:tc>
          <w:tcPr>
            <w:tcW w:w="3421" w:type="dxa"/>
            <w:vAlign w:val="center"/>
          </w:tcPr>
          <w:p w14:paraId="2BA88737" w14:textId="79960A02" w:rsidR="000E46EE" w:rsidRPr="0066646D" w:rsidRDefault="00E369E6" w:rsidP="007E7376">
            <w:pPr>
              <w:tabs>
                <w:tab w:val="center" w:pos="4513"/>
                <w:tab w:val="right" w:pos="9026"/>
              </w:tabs>
              <w:spacing w:line="276" w:lineRule="auto"/>
            </w:pPr>
            <w:r w:rsidRPr="0066646D">
              <w:t>Board of trustees</w:t>
            </w:r>
            <w:r w:rsidR="000E46EE" w:rsidRPr="0066646D">
              <w:t xml:space="preserve"> plus prior written approval of the ESFA</w:t>
            </w:r>
          </w:p>
        </w:tc>
        <w:tc>
          <w:tcPr>
            <w:tcW w:w="4133" w:type="dxa"/>
            <w:vAlign w:val="center"/>
          </w:tcPr>
          <w:p w14:paraId="7B581DF2" w14:textId="77777777" w:rsidR="000E46EE" w:rsidRPr="0066646D" w:rsidRDefault="000E46EE" w:rsidP="007E7376">
            <w:pPr>
              <w:tabs>
                <w:tab w:val="center" w:pos="4513"/>
                <w:tab w:val="right" w:pos="9026"/>
              </w:tabs>
              <w:spacing w:line="276" w:lineRule="auto"/>
            </w:pPr>
          </w:p>
        </w:tc>
        <w:tc>
          <w:tcPr>
            <w:tcW w:w="1437" w:type="dxa"/>
            <w:vAlign w:val="center"/>
          </w:tcPr>
          <w:p w14:paraId="7E81CC5D" w14:textId="77777777" w:rsidR="000E46EE" w:rsidRPr="0066646D" w:rsidRDefault="000E46EE" w:rsidP="007E7376">
            <w:pPr>
              <w:tabs>
                <w:tab w:val="center" w:pos="4513"/>
                <w:tab w:val="right" w:pos="9026"/>
              </w:tabs>
              <w:spacing w:line="276" w:lineRule="auto"/>
              <w:jc w:val="center"/>
            </w:pPr>
          </w:p>
        </w:tc>
      </w:tr>
      <w:tr w:rsidR="000E46EE" w:rsidRPr="0066646D" w14:paraId="7B4183E4" w14:textId="77777777" w:rsidTr="00824E5C">
        <w:trPr>
          <w:trHeight w:val="121"/>
        </w:trPr>
        <w:tc>
          <w:tcPr>
            <w:tcW w:w="2263" w:type="dxa"/>
            <w:vMerge w:val="restart"/>
            <w:vAlign w:val="center"/>
          </w:tcPr>
          <w:p w14:paraId="09495B5B" w14:textId="77777777" w:rsidR="000E46EE" w:rsidRPr="0066646D" w:rsidRDefault="000E46EE" w:rsidP="007E7376">
            <w:pPr>
              <w:tabs>
                <w:tab w:val="center" w:pos="4513"/>
                <w:tab w:val="right" w:pos="9026"/>
              </w:tabs>
              <w:spacing w:before="8" w:after="8" w:line="276" w:lineRule="auto"/>
            </w:pPr>
            <w:r w:rsidRPr="0066646D">
              <w:t>Writing-off debts</w:t>
            </w:r>
          </w:p>
        </w:tc>
        <w:tc>
          <w:tcPr>
            <w:tcW w:w="2694" w:type="dxa"/>
            <w:vAlign w:val="center"/>
          </w:tcPr>
          <w:p w14:paraId="5E4270C6" w14:textId="74223C45" w:rsidR="000E46EE" w:rsidRPr="0066646D" w:rsidRDefault="000E46EE" w:rsidP="007E7376">
            <w:pPr>
              <w:tabs>
                <w:tab w:val="center" w:pos="4513"/>
                <w:tab w:val="right" w:pos="9026"/>
              </w:tabs>
              <w:spacing w:before="8" w:after="8" w:line="276" w:lineRule="auto"/>
            </w:pPr>
            <w:r w:rsidRPr="0066646D">
              <w:t>Up to £</w:t>
            </w:r>
            <w:r w:rsidR="00E36457" w:rsidRPr="0066646D">
              <w:t>5</w:t>
            </w:r>
            <w:r w:rsidRPr="0066646D">
              <w:t>,000</w:t>
            </w:r>
          </w:p>
        </w:tc>
        <w:tc>
          <w:tcPr>
            <w:tcW w:w="3421" w:type="dxa"/>
            <w:vAlign w:val="center"/>
          </w:tcPr>
          <w:p w14:paraId="35ED370B" w14:textId="776DFA94" w:rsidR="000E46EE" w:rsidRPr="0066646D" w:rsidRDefault="00242171" w:rsidP="007E7376">
            <w:pPr>
              <w:tabs>
                <w:tab w:val="center" w:pos="4513"/>
                <w:tab w:val="right" w:pos="9026"/>
              </w:tabs>
              <w:spacing w:before="8" w:after="8" w:line="276" w:lineRule="auto"/>
            </w:pPr>
            <w:r w:rsidRPr="0066646D">
              <w:t>Academy Principal</w:t>
            </w:r>
            <w:r w:rsidR="000E46EE" w:rsidRPr="0066646D">
              <w:t xml:space="preserve">, reporting to the </w:t>
            </w:r>
            <w:r w:rsidR="009758BD" w:rsidRPr="0066646D">
              <w:rPr>
                <w:color w:val="000000" w:themeColor="text1"/>
              </w:rPr>
              <w:t>Finance</w:t>
            </w:r>
            <w:r w:rsidR="000B209E" w:rsidRPr="0066646D">
              <w:rPr>
                <w:color w:val="000000" w:themeColor="text1"/>
              </w:rPr>
              <w:t xml:space="preserve"> Committee</w:t>
            </w:r>
          </w:p>
        </w:tc>
        <w:tc>
          <w:tcPr>
            <w:tcW w:w="4133" w:type="dxa"/>
            <w:vMerge w:val="restart"/>
            <w:vAlign w:val="center"/>
          </w:tcPr>
          <w:p w14:paraId="6865760A" w14:textId="77777777" w:rsidR="000E46EE" w:rsidRPr="0066646D" w:rsidRDefault="000E46EE" w:rsidP="007E7376">
            <w:pPr>
              <w:tabs>
                <w:tab w:val="center" w:pos="4513"/>
                <w:tab w:val="right" w:pos="9026"/>
              </w:tabs>
              <w:spacing w:before="8" w:after="8" w:line="276" w:lineRule="auto"/>
            </w:pPr>
            <w:r w:rsidRPr="0066646D">
              <w:t xml:space="preserve">Anything above these limits requires approval by the Secretary of State through the ESFA. </w:t>
            </w:r>
          </w:p>
        </w:tc>
        <w:tc>
          <w:tcPr>
            <w:tcW w:w="1437" w:type="dxa"/>
            <w:vMerge w:val="restart"/>
            <w:vAlign w:val="center"/>
          </w:tcPr>
          <w:p w14:paraId="176E3DB2" w14:textId="2D5412BC" w:rsidR="000E46EE" w:rsidRPr="0066646D" w:rsidRDefault="000E46EE" w:rsidP="007E7376">
            <w:pPr>
              <w:tabs>
                <w:tab w:val="center" w:pos="4513"/>
                <w:tab w:val="right" w:pos="9026"/>
              </w:tabs>
              <w:spacing w:before="8" w:after="8" w:line="276" w:lineRule="auto"/>
              <w:jc w:val="center"/>
            </w:pPr>
            <w:r w:rsidRPr="0066646D">
              <w:t>Annual</w:t>
            </w:r>
            <w:r w:rsidR="008F3095" w:rsidRPr="0066646D">
              <w:t>ly</w:t>
            </w:r>
          </w:p>
        </w:tc>
      </w:tr>
      <w:tr w:rsidR="000E46EE" w:rsidRPr="0066646D" w14:paraId="3CAE21F3" w14:textId="77777777" w:rsidTr="00824E5C">
        <w:trPr>
          <w:trHeight w:val="121"/>
        </w:trPr>
        <w:tc>
          <w:tcPr>
            <w:tcW w:w="2263" w:type="dxa"/>
            <w:vMerge/>
            <w:vAlign w:val="center"/>
          </w:tcPr>
          <w:p w14:paraId="1B6DC4CE" w14:textId="77777777" w:rsidR="000E46EE" w:rsidRPr="0066646D" w:rsidRDefault="000E46EE" w:rsidP="007E7376">
            <w:pPr>
              <w:tabs>
                <w:tab w:val="center" w:pos="4513"/>
                <w:tab w:val="right" w:pos="9026"/>
              </w:tabs>
              <w:spacing w:before="8" w:after="8" w:line="276" w:lineRule="auto"/>
            </w:pPr>
          </w:p>
        </w:tc>
        <w:tc>
          <w:tcPr>
            <w:tcW w:w="2694" w:type="dxa"/>
            <w:vAlign w:val="center"/>
          </w:tcPr>
          <w:p w14:paraId="5D23D9CB" w14:textId="2349D893" w:rsidR="000E46EE" w:rsidRPr="0066646D" w:rsidRDefault="000E46EE" w:rsidP="007E7376">
            <w:pPr>
              <w:tabs>
                <w:tab w:val="center" w:pos="4513"/>
                <w:tab w:val="right" w:pos="9026"/>
              </w:tabs>
              <w:spacing w:before="8" w:after="8" w:line="276" w:lineRule="auto"/>
            </w:pPr>
            <w:r w:rsidRPr="0066646D">
              <w:t>£</w:t>
            </w:r>
            <w:r w:rsidR="00E36457" w:rsidRPr="0066646D">
              <w:t>5</w:t>
            </w:r>
            <w:r w:rsidRPr="0066646D">
              <w:t>,00</w:t>
            </w:r>
            <w:r w:rsidR="00BB4DEE" w:rsidRPr="0066646D">
              <w:t>1</w:t>
            </w:r>
            <w:r w:rsidRPr="0066646D">
              <w:t xml:space="preserve"> to £10,000</w:t>
            </w:r>
          </w:p>
        </w:tc>
        <w:tc>
          <w:tcPr>
            <w:tcW w:w="3421" w:type="dxa"/>
            <w:vAlign w:val="center"/>
          </w:tcPr>
          <w:p w14:paraId="43671B1C" w14:textId="2C2563C2" w:rsidR="000E46EE" w:rsidRPr="0066646D" w:rsidRDefault="009758BD" w:rsidP="007E7376">
            <w:pPr>
              <w:tabs>
                <w:tab w:val="center" w:pos="4513"/>
                <w:tab w:val="right" w:pos="9026"/>
              </w:tabs>
              <w:spacing w:before="8" w:after="8" w:line="276" w:lineRule="auto"/>
              <w:rPr>
                <w:b/>
              </w:rPr>
            </w:pPr>
            <w:r w:rsidRPr="0066646D">
              <w:rPr>
                <w:color w:val="000000" w:themeColor="text1"/>
              </w:rPr>
              <w:t>Finance</w:t>
            </w:r>
            <w:r w:rsidR="000B209E" w:rsidRPr="0066646D">
              <w:rPr>
                <w:color w:val="000000" w:themeColor="text1"/>
              </w:rPr>
              <w:t xml:space="preserve"> Committee</w:t>
            </w:r>
          </w:p>
        </w:tc>
        <w:tc>
          <w:tcPr>
            <w:tcW w:w="4133" w:type="dxa"/>
            <w:vMerge/>
            <w:vAlign w:val="center"/>
          </w:tcPr>
          <w:p w14:paraId="6587DD42" w14:textId="77777777" w:rsidR="000E46EE" w:rsidRPr="0066646D" w:rsidRDefault="000E46EE" w:rsidP="007E7376">
            <w:pPr>
              <w:tabs>
                <w:tab w:val="center" w:pos="4513"/>
                <w:tab w:val="right" w:pos="9026"/>
              </w:tabs>
              <w:spacing w:before="8" w:after="8" w:line="276" w:lineRule="auto"/>
            </w:pPr>
          </w:p>
        </w:tc>
        <w:tc>
          <w:tcPr>
            <w:tcW w:w="1437" w:type="dxa"/>
            <w:vMerge/>
            <w:vAlign w:val="center"/>
          </w:tcPr>
          <w:p w14:paraId="28400FE2" w14:textId="77777777" w:rsidR="000E46EE" w:rsidRPr="0066646D" w:rsidRDefault="000E46EE" w:rsidP="007E7376">
            <w:pPr>
              <w:tabs>
                <w:tab w:val="center" w:pos="4513"/>
                <w:tab w:val="right" w:pos="9026"/>
              </w:tabs>
              <w:spacing w:before="8" w:after="8" w:line="276" w:lineRule="auto"/>
              <w:jc w:val="center"/>
            </w:pPr>
          </w:p>
        </w:tc>
      </w:tr>
      <w:tr w:rsidR="000E46EE" w:rsidRPr="0066646D" w14:paraId="48804773" w14:textId="77777777" w:rsidTr="00824E5C">
        <w:tc>
          <w:tcPr>
            <w:tcW w:w="2263" w:type="dxa"/>
            <w:vMerge/>
            <w:vAlign w:val="center"/>
          </w:tcPr>
          <w:p w14:paraId="7F5940BD" w14:textId="77777777" w:rsidR="000E46EE" w:rsidRPr="0066646D" w:rsidRDefault="000E46EE" w:rsidP="007E7376">
            <w:pPr>
              <w:tabs>
                <w:tab w:val="center" w:pos="4513"/>
                <w:tab w:val="right" w:pos="9026"/>
              </w:tabs>
              <w:spacing w:before="8" w:after="8" w:line="276" w:lineRule="auto"/>
            </w:pPr>
          </w:p>
        </w:tc>
        <w:tc>
          <w:tcPr>
            <w:tcW w:w="2694" w:type="dxa"/>
            <w:vAlign w:val="center"/>
          </w:tcPr>
          <w:p w14:paraId="1E158E38" w14:textId="22836B85" w:rsidR="000E46EE" w:rsidRPr="0066646D" w:rsidRDefault="00E015F3" w:rsidP="007E7376">
            <w:pPr>
              <w:tabs>
                <w:tab w:val="center" w:pos="4513"/>
                <w:tab w:val="right" w:pos="9026"/>
              </w:tabs>
              <w:spacing w:before="8" w:after="8" w:line="276" w:lineRule="auto"/>
            </w:pPr>
            <w:r w:rsidRPr="0066646D">
              <w:t>B</w:t>
            </w:r>
            <w:r w:rsidR="000E46EE" w:rsidRPr="0066646D">
              <w:t>elow 1% of total annual income or £45,000 (whichever is smaller) per single transaction subject to a maximum of £250,000</w:t>
            </w:r>
          </w:p>
        </w:tc>
        <w:tc>
          <w:tcPr>
            <w:tcW w:w="3421" w:type="dxa"/>
            <w:vAlign w:val="center"/>
          </w:tcPr>
          <w:p w14:paraId="3BFDC20D" w14:textId="0C0AF96C" w:rsidR="000E46EE" w:rsidRPr="0066646D" w:rsidRDefault="00E369E6" w:rsidP="007E7376">
            <w:pPr>
              <w:tabs>
                <w:tab w:val="center" w:pos="4513"/>
                <w:tab w:val="right" w:pos="9026"/>
              </w:tabs>
              <w:spacing w:before="8" w:after="8" w:line="276" w:lineRule="auto"/>
            </w:pPr>
            <w:r w:rsidRPr="0066646D">
              <w:t>Board of trustees</w:t>
            </w:r>
            <w:r w:rsidR="000E46EE" w:rsidRPr="0066646D">
              <w:t xml:space="preserve"> and the ESFA where applicable </w:t>
            </w:r>
          </w:p>
        </w:tc>
        <w:tc>
          <w:tcPr>
            <w:tcW w:w="4133" w:type="dxa"/>
            <w:vMerge/>
            <w:vAlign w:val="center"/>
          </w:tcPr>
          <w:p w14:paraId="110A400C" w14:textId="77777777" w:rsidR="000E46EE" w:rsidRPr="0066646D" w:rsidRDefault="000E46EE" w:rsidP="007E7376">
            <w:pPr>
              <w:tabs>
                <w:tab w:val="center" w:pos="4513"/>
                <w:tab w:val="right" w:pos="9026"/>
              </w:tabs>
              <w:spacing w:before="8" w:after="8" w:line="276" w:lineRule="auto"/>
            </w:pPr>
          </w:p>
        </w:tc>
        <w:tc>
          <w:tcPr>
            <w:tcW w:w="1437" w:type="dxa"/>
            <w:vMerge/>
            <w:vAlign w:val="center"/>
          </w:tcPr>
          <w:p w14:paraId="5147BF3C" w14:textId="77777777" w:rsidR="000E46EE" w:rsidRPr="0066646D" w:rsidRDefault="000E46EE" w:rsidP="007E7376">
            <w:pPr>
              <w:tabs>
                <w:tab w:val="center" w:pos="4513"/>
                <w:tab w:val="right" w:pos="9026"/>
              </w:tabs>
              <w:spacing w:before="8" w:after="8" w:line="276" w:lineRule="auto"/>
              <w:jc w:val="center"/>
            </w:pPr>
          </w:p>
        </w:tc>
      </w:tr>
      <w:tr w:rsidR="000E46EE" w:rsidRPr="0066646D" w14:paraId="01888C94" w14:textId="77777777" w:rsidTr="00824E5C">
        <w:tc>
          <w:tcPr>
            <w:tcW w:w="2263" w:type="dxa"/>
            <w:vMerge w:val="restart"/>
            <w:vAlign w:val="center"/>
          </w:tcPr>
          <w:p w14:paraId="7C41DAC5" w14:textId="77777777" w:rsidR="000E46EE" w:rsidRPr="0066646D" w:rsidRDefault="000E46EE" w:rsidP="007E7376">
            <w:pPr>
              <w:tabs>
                <w:tab w:val="center" w:pos="4513"/>
                <w:tab w:val="right" w:pos="9026"/>
              </w:tabs>
              <w:spacing w:before="8" w:after="8" w:line="276" w:lineRule="auto"/>
            </w:pPr>
            <w:r w:rsidRPr="0066646D">
              <w:t xml:space="preserve">Special payments, including staff severance and compensation payments </w:t>
            </w:r>
          </w:p>
        </w:tc>
        <w:tc>
          <w:tcPr>
            <w:tcW w:w="2694" w:type="dxa"/>
            <w:vAlign w:val="center"/>
          </w:tcPr>
          <w:p w14:paraId="0572A929" w14:textId="77777777" w:rsidR="000E46EE" w:rsidRPr="0066646D" w:rsidRDefault="000E46EE" w:rsidP="007E7376">
            <w:pPr>
              <w:tabs>
                <w:tab w:val="center" w:pos="4513"/>
                <w:tab w:val="right" w:pos="9026"/>
              </w:tabs>
              <w:spacing w:before="8" w:after="8" w:line="276" w:lineRule="auto"/>
            </w:pPr>
            <w:r w:rsidRPr="0066646D">
              <w:t>Up to £49,999</w:t>
            </w:r>
          </w:p>
        </w:tc>
        <w:tc>
          <w:tcPr>
            <w:tcW w:w="3421" w:type="dxa"/>
            <w:vAlign w:val="center"/>
          </w:tcPr>
          <w:p w14:paraId="1AD04B76" w14:textId="1C0F601B" w:rsidR="000E46EE" w:rsidRPr="0066646D" w:rsidRDefault="00E369E6" w:rsidP="007E7376">
            <w:pPr>
              <w:tabs>
                <w:tab w:val="center" w:pos="4513"/>
                <w:tab w:val="right" w:pos="9026"/>
              </w:tabs>
              <w:spacing w:before="8" w:after="8" w:line="276" w:lineRule="auto"/>
            </w:pPr>
            <w:r w:rsidRPr="0066646D">
              <w:t>Board of trustees</w:t>
            </w:r>
          </w:p>
        </w:tc>
        <w:tc>
          <w:tcPr>
            <w:tcW w:w="4133" w:type="dxa"/>
            <w:vMerge w:val="restart"/>
            <w:vAlign w:val="center"/>
          </w:tcPr>
          <w:p w14:paraId="43EB9EDF" w14:textId="77777777" w:rsidR="000E46EE" w:rsidRPr="0066646D" w:rsidRDefault="000E46EE" w:rsidP="007E7376">
            <w:pPr>
              <w:tabs>
                <w:tab w:val="center" w:pos="4513"/>
                <w:tab w:val="right" w:pos="9026"/>
              </w:tabs>
              <w:spacing w:before="8" w:after="8" w:line="276" w:lineRule="auto"/>
            </w:pPr>
          </w:p>
        </w:tc>
        <w:tc>
          <w:tcPr>
            <w:tcW w:w="1437" w:type="dxa"/>
            <w:vMerge w:val="restart"/>
            <w:vAlign w:val="center"/>
          </w:tcPr>
          <w:p w14:paraId="413AA2E9" w14:textId="77777777" w:rsidR="000E46EE" w:rsidRPr="0066646D" w:rsidRDefault="000E46EE" w:rsidP="007E7376">
            <w:pPr>
              <w:tabs>
                <w:tab w:val="center" w:pos="4513"/>
                <w:tab w:val="right" w:pos="9026"/>
              </w:tabs>
              <w:spacing w:before="8" w:after="8" w:line="276" w:lineRule="auto"/>
              <w:jc w:val="center"/>
            </w:pPr>
            <w:r w:rsidRPr="0066646D">
              <w:t>As required</w:t>
            </w:r>
          </w:p>
        </w:tc>
      </w:tr>
      <w:tr w:rsidR="000E46EE" w:rsidRPr="0066646D" w14:paraId="0CE9DC69" w14:textId="77777777" w:rsidTr="00824E5C">
        <w:tc>
          <w:tcPr>
            <w:tcW w:w="2263" w:type="dxa"/>
            <w:vMerge/>
            <w:vAlign w:val="center"/>
          </w:tcPr>
          <w:p w14:paraId="6E85CBA0" w14:textId="77777777" w:rsidR="000E46EE" w:rsidRPr="0066646D" w:rsidRDefault="000E46EE" w:rsidP="007E7376">
            <w:pPr>
              <w:tabs>
                <w:tab w:val="center" w:pos="4513"/>
                <w:tab w:val="right" w:pos="9026"/>
              </w:tabs>
              <w:spacing w:before="8" w:after="8" w:line="276" w:lineRule="auto"/>
            </w:pPr>
          </w:p>
        </w:tc>
        <w:tc>
          <w:tcPr>
            <w:tcW w:w="2694" w:type="dxa"/>
            <w:vAlign w:val="center"/>
          </w:tcPr>
          <w:p w14:paraId="1DE1AC5E" w14:textId="26C09938" w:rsidR="000E46EE" w:rsidRPr="0066646D" w:rsidRDefault="000E46EE" w:rsidP="007E7376">
            <w:pPr>
              <w:tabs>
                <w:tab w:val="center" w:pos="4513"/>
                <w:tab w:val="right" w:pos="9026"/>
              </w:tabs>
              <w:spacing w:before="8" w:after="8" w:line="276" w:lineRule="auto"/>
            </w:pPr>
            <w:r w:rsidRPr="0066646D">
              <w:t>£50,000</w:t>
            </w:r>
            <w:r w:rsidR="00E015F3" w:rsidRPr="0066646D">
              <w:t xml:space="preserve"> and above</w:t>
            </w:r>
          </w:p>
        </w:tc>
        <w:tc>
          <w:tcPr>
            <w:tcW w:w="3421" w:type="dxa"/>
            <w:vAlign w:val="center"/>
          </w:tcPr>
          <w:p w14:paraId="759E5F19" w14:textId="6F3A1C86" w:rsidR="000E46EE" w:rsidRPr="0066646D" w:rsidRDefault="00E369E6" w:rsidP="007E7376">
            <w:pPr>
              <w:tabs>
                <w:tab w:val="center" w:pos="4513"/>
                <w:tab w:val="right" w:pos="9026"/>
              </w:tabs>
              <w:spacing w:before="8" w:after="8" w:line="276" w:lineRule="auto"/>
            </w:pPr>
            <w:r w:rsidRPr="0066646D">
              <w:t>Board of trustees</w:t>
            </w:r>
            <w:r w:rsidR="000E46EE" w:rsidRPr="0066646D">
              <w:t xml:space="preserve"> plus ESFA approval before an offer is made to the employee</w:t>
            </w:r>
          </w:p>
        </w:tc>
        <w:tc>
          <w:tcPr>
            <w:tcW w:w="4133" w:type="dxa"/>
            <w:vMerge/>
            <w:vAlign w:val="center"/>
          </w:tcPr>
          <w:p w14:paraId="57B330D3" w14:textId="77777777" w:rsidR="000E46EE" w:rsidRPr="0066646D" w:rsidRDefault="000E46EE" w:rsidP="007E7376">
            <w:pPr>
              <w:tabs>
                <w:tab w:val="center" w:pos="4513"/>
                <w:tab w:val="right" w:pos="9026"/>
              </w:tabs>
              <w:spacing w:before="8" w:after="8" w:line="276" w:lineRule="auto"/>
            </w:pPr>
          </w:p>
        </w:tc>
        <w:tc>
          <w:tcPr>
            <w:tcW w:w="1437" w:type="dxa"/>
            <w:vMerge/>
            <w:vAlign w:val="center"/>
          </w:tcPr>
          <w:p w14:paraId="1064FA7A" w14:textId="77777777" w:rsidR="000E46EE" w:rsidRPr="0066646D" w:rsidRDefault="000E46EE" w:rsidP="007E7376">
            <w:pPr>
              <w:tabs>
                <w:tab w:val="center" w:pos="4513"/>
                <w:tab w:val="right" w:pos="9026"/>
              </w:tabs>
              <w:spacing w:before="8" w:after="8" w:line="276" w:lineRule="auto"/>
              <w:jc w:val="center"/>
            </w:pPr>
          </w:p>
        </w:tc>
      </w:tr>
      <w:tr w:rsidR="000E46EE" w:rsidRPr="0066646D" w14:paraId="601C1B97" w14:textId="77777777" w:rsidTr="00824E5C">
        <w:tc>
          <w:tcPr>
            <w:tcW w:w="2263" w:type="dxa"/>
            <w:vAlign w:val="center"/>
          </w:tcPr>
          <w:p w14:paraId="02B96391" w14:textId="77777777" w:rsidR="000E46EE" w:rsidRPr="0066646D" w:rsidRDefault="000E46EE" w:rsidP="007E7376">
            <w:pPr>
              <w:tabs>
                <w:tab w:val="center" w:pos="4513"/>
                <w:tab w:val="right" w:pos="9026"/>
              </w:tabs>
              <w:spacing w:before="8" w:after="8" w:line="276" w:lineRule="auto"/>
            </w:pPr>
            <w:r w:rsidRPr="0066646D">
              <w:t>Ex-gratia payments</w:t>
            </w:r>
          </w:p>
        </w:tc>
        <w:tc>
          <w:tcPr>
            <w:tcW w:w="2694" w:type="dxa"/>
            <w:vAlign w:val="center"/>
          </w:tcPr>
          <w:p w14:paraId="1D2D66BA" w14:textId="77777777" w:rsidR="000E46EE" w:rsidRPr="0066646D" w:rsidRDefault="000E46EE" w:rsidP="007E7376">
            <w:pPr>
              <w:tabs>
                <w:tab w:val="center" w:pos="4513"/>
                <w:tab w:val="right" w:pos="9026"/>
              </w:tabs>
              <w:spacing w:before="8" w:after="8" w:line="276" w:lineRule="auto"/>
            </w:pPr>
            <w:r w:rsidRPr="0066646D">
              <w:t>Any</w:t>
            </w:r>
          </w:p>
        </w:tc>
        <w:tc>
          <w:tcPr>
            <w:tcW w:w="3421" w:type="dxa"/>
            <w:vAlign w:val="center"/>
          </w:tcPr>
          <w:p w14:paraId="71CAB820" w14:textId="77777777" w:rsidR="000E46EE" w:rsidRPr="0066646D" w:rsidDel="00BB6724" w:rsidRDefault="000E46EE" w:rsidP="007E7376">
            <w:pPr>
              <w:tabs>
                <w:tab w:val="center" w:pos="4513"/>
                <w:tab w:val="right" w:pos="9026"/>
              </w:tabs>
              <w:spacing w:before="8" w:after="8" w:line="276" w:lineRule="auto"/>
            </w:pPr>
            <w:r w:rsidRPr="0066646D">
              <w:t>ESFA prior approval required</w:t>
            </w:r>
          </w:p>
        </w:tc>
        <w:tc>
          <w:tcPr>
            <w:tcW w:w="4133" w:type="dxa"/>
            <w:vAlign w:val="center"/>
          </w:tcPr>
          <w:p w14:paraId="09068A35" w14:textId="77777777" w:rsidR="000E46EE" w:rsidRPr="0066646D" w:rsidRDefault="000E46EE" w:rsidP="007E7376">
            <w:pPr>
              <w:tabs>
                <w:tab w:val="center" w:pos="4513"/>
                <w:tab w:val="right" w:pos="9026"/>
              </w:tabs>
              <w:spacing w:before="8" w:after="8" w:line="276" w:lineRule="auto"/>
            </w:pPr>
          </w:p>
        </w:tc>
        <w:tc>
          <w:tcPr>
            <w:tcW w:w="1437" w:type="dxa"/>
            <w:vAlign w:val="center"/>
          </w:tcPr>
          <w:p w14:paraId="5AF0B9FE" w14:textId="77777777" w:rsidR="000E46EE" w:rsidRPr="0066646D" w:rsidRDefault="000E46EE" w:rsidP="007E7376">
            <w:pPr>
              <w:tabs>
                <w:tab w:val="center" w:pos="4513"/>
                <w:tab w:val="right" w:pos="9026"/>
              </w:tabs>
              <w:spacing w:before="8" w:after="8" w:line="276" w:lineRule="auto"/>
              <w:jc w:val="center"/>
            </w:pPr>
            <w:r w:rsidRPr="0066646D">
              <w:t>As required</w:t>
            </w:r>
          </w:p>
        </w:tc>
      </w:tr>
      <w:tr w:rsidR="000E46EE" w:rsidRPr="0066646D" w14:paraId="151B5AD2" w14:textId="77777777" w:rsidTr="00824E5C">
        <w:tc>
          <w:tcPr>
            <w:tcW w:w="2263" w:type="dxa"/>
            <w:vAlign w:val="center"/>
          </w:tcPr>
          <w:p w14:paraId="315B5349" w14:textId="77777777" w:rsidR="000E46EE" w:rsidRPr="0066646D" w:rsidRDefault="000E46EE" w:rsidP="007E7376">
            <w:pPr>
              <w:tabs>
                <w:tab w:val="center" w:pos="4513"/>
                <w:tab w:val="right" w:pos="9026"/>
              </w:tabs>
              <w:spacing w:before="8" w:after="8" w:line="276" w:lineRule="auto"/>
            </w:pPr>
            <w:r w:rsidRPr="0066646D">
              <w:t>Novel or contentious payments</w:t>
            </w:r>
          </w:p>
        </w:tc>
        <w:tc>
          <w:tcPr>
            <w:tcW w:w="2694" w:type="dxa"/>
            <w:vAlign w:val="center"/>
          </w:tcPr>
          <w:p w14:paraId="1796F2C9" w14:textId="77777777" w:rsidR="000E46EE" w:rsidRPr="0066646D" w:rsidRDefault="000E46EE" w:rsidP="007E7376">
            <w:pPr>
              <w:tabs>
                <w:tab w:val="center" w:pos="4513"/>
                <w:tab w:val="right" w:pos="9026"/>
              </w:tabs>
              <w:spacing w:before="8" w:after="8" w:line="276" w:lineRule="auto"/>
            </w:pPr>
            <w:r w:rsidRPr="0066646D">
              <w:t>Any</w:t>
            </w:r>
          </w:p>
        </w:tc>
        <w:tc>
          <w:tcPr>
            <w:tcW w:w="3421" w:type="dxa"/>
            <w:vAlign w:val="center"/>
          </w:tcPr>
          <w:p w14:paraId="14ECC5A4" w14:textId="236538DE" w:rsidR="000E46EE" w:rsidRPr="0066646D" w:rsidRDefault="00E369E6" w:rsidP="007E7376">
            <w:pPr>
              <w:tabs>
                <w:tab w:val="center" w:pos="4513"/>
                <w:tab w:val="right" w:pos="9026"/>
              </w:tabs>
              <w:spacing w:before="8" w:after="8" w:line="276" w:lineRule="auto"/>
            </w:pPr>
            <w:r w:rsidRPr="0066646D">
              <w:t>Board of trustees</w:t>
            </w:r>
            <w:r w:rsidR="000E46EE" w:rsidRPr="0066646D">
              <w:t xml:space="preserve"> plus prior ESFA approval </w:t>
            </w:r>
          </w:p>
        </w:tc>
        <w:tc>
          <w:tcPr>
            <w:tcW w:w="4133" w:type="dxa"/>
            <w:vAlign w:val="center"/>
          </w:tcPr>
          <w:p w14:paraId="5A66D608" w14:textId="77777777" w:rsidR="000E46EE" w:rsidRPr="0066646D" w:rsidRDefault="000E46EE" w:rsidP="007E7376">
            <w:pPr>
              <w:tabs>
                <w:tab w:val="center" w:pos="4513"/>
                <w:tab w:val="right" w:pos="9026"/>
              </w:tabs>
              <w:spacing w:before="8" w:after="8" w:line="276" w:lineRule="auto"/>
            </w:pPr>
          </w:p>
        </w:tc>
        <w:tc>
          <w:tcPr>
            <w:tcW w:w="1437" w:type="dxa"/>
            <w:vAlign w:val="center"/>
          </w:tcPr>
          <w:p w14:paraId="362DC640" w14:textId="77777777" w:rsidR="000E46EE" w:rsidRPr="0066646D" w:rsidRDefault="000E46EE" w:rsidP="007E7376">
            <w:pPr>
              <w:tabs>
                <w:tab w:val="center" w:pos="4513"/>
                <w:tab w:val="right" w:pos="9026"/>
              </w:tabs>
              <w:spacing w:before="8" w:after="8" w:line="276" w:lineRule="auto"/>
              <w:jc w:val="center"/>
            </w:pPr>
          </w:p>
        </w:tc>
      </w:tr>
      <w:tr w:rsidR="000E46EE" w:rsidRPr="0066646D" w14:paraId="3A5CA2BB" w14:textId="77777777" w:rsidTr="00824E5C">
        <w:tc>
          <w:tcPr>
            <w:tcW w:w="2263" w:type="dxa"/>
            <w:vAlign w:val="center"/>
          </w:tcPr>
          <w:p w14:paraId="5577EE66" w14:textId="77777777" w:rsidR="000E46EE" w:rsidRPr="0066646D" w:rsidRDefault="000E46EE" w:rsidP="007E7376">
            <w:pPr>
              <w:tabs>
                <w:tab w:val="center" w:pos="4513"/>
                <w:tab w:val="right" w:pos="9026"/>
              </w:tabs>
              <w:spacing w:before="8" w:after="8" w:line="276" w:lineRule="auto"/>
            </w:pPr>
            <w:r w:rsidRPr="0066646D">
              <w:t>Bank cards and online banking</w:t>
            </w:r>
          </w:p>
        </w:tc>
        <w:tc>
          <w:tcPr>
            <w:tcW w:w="2694" w:type="dxa"/>
            <w:vAlign w:val="center"/>
          </w:tcPr>
          <w:p w14:paraId="75019D29" w14:textId="00BDC933" w:rsidR="000E46EE" w:rsidRPr="0066646D" w:rsidRDefault="002A12B6" w:rsidP="007E7376">
            <w:pPr>
              <w:tabs>
                <w:tab w:val="center" w:pos="4513"/>
                <w:tab w:val="right" w:pos="9026"/>
              </w:tabs>
              <w:spacing w:before="8" w:after="8" w:line="276" w:lineRule="auto"/>
            </w:pPr>
            <w:r w:rsidRPr="0066646D">
              <w:t>Up to £</w:t>
            </w:r>
            <w:r w:rsidR="00E36457" w:rsidRPr="0066646D">
              <w:t>5</w:t>
            </w:r>
            <w:r w:rsidR="000E46EE" w:rsidRPr="0066646D">
              <w:t>,000</w:t>
            </w:r>
          </w:p>
        </w:tc>
        <w:tc>
          <w:tcPr>
            <w:tcW w:w="3421" w:type="dxa"/>
            <w:vAlign w:val="center"/>
          </w:tcPr>
          <w:p w14:paraId="59F7337E" w14:textId="6D26F485" w:rsidR="000E46EE" w:rsidRPr="0066646D" w:rsidRDefault="00711625" w:rsidP="007E7376">
            <w:pPr>
              <w:tabs>
                <w:tab w:val="center" w:pos="4513"/>
                <w:tab w:val="right" w:pos="9026"/>
              </w:tabs>
              <w:spacing w:before="8" w:after="8" w:line="276" w:lineRule="auto"/>
            </w:pPr>
            <w:r w:rsidRPr="0066646D">
              <w:t>Business Manager/Chief Financial Officer</w:t>
            </w:r>
            <w:r w:rsidR="000E46EE" w:rsidRPr="0066646D">
              <w:t xml:space="preserve">, </w:t>
            </w:r>
            <w:r w:rsidR="00242171" w:rsidRPr="0066646D">
              <w:t>Academy Principal</w:t>
            </w:r>
            <w:r w:rsidR="000E46EE" w:rsidRPr="0066646D">
              <w:t xml:space="preserve"> and designated budget holders</w:t>
            </w:r>
          </w:p>
        </w:tc>
        <w:tc>
          <w:tcPr>
            <w:tcW w:w="4133" w:type="dxa"/>
            <w:vAlign w:val="center"/>
          </w:tcPr>
          <w:p w14:paraId="7B7F3D84" w14:textId="27403B63" w:rsidR="000E46EE" w:rsidRPr="0066646D" w:rsidRDefault="002A12B6" w:rsidP="007E7376">
            <w:pPr>
              <w:tabs>
                <w:tab w:val="center" w:pos="4513"/>
                <w:tab w:val="right" w:pos="9026"/>
              </w:tabs>
              <w:spacing w:before="8" w:after="8" w:line="276" w:lineRule="auto"/>
            </w:pPr>
            <w:r w:rsidRPr="0066646D">
              <w:t>Charge</w:t>
            </w:r>
            <w:r w:rsidR="000E46EE" w:rsidRPr="0066646D">
              <w:t xml:space="preserve"> cards will be kept in a safe and secure location when not in use. Orders require checking by another delegated authority. </w:t>
            </w:r>
          </w:p>
        </w:tc>
        <w:tc>
          <w:tcPr>
            <w:tcW w:w="1437" w:type="dxa"/>
            <w:vAlign w:val="center"/>
          </w:tcPr>
          <w:p w14:paraId="5B67DB80" w14:textId="77777777" w:rsidR="000E46EE" w:rsidRPr="0066646D" w:rsidRDefault="000E46EE" w:rsidP="007E7376">
            <w:pPr>
              <w:tabs>
                <w:tab w:val="center" w:pos="4513"/>
                <w:tab w:val="right" w:pos="9026"/>
              </w:tabs>
              <w:spacing w:before="8" w:after="8" w:line="276" w:lineRule="auto"/>
              <w:jc w:val="center"/>
            </w:pPr>
            <w:r w:rsidRPr="0066646D">
              <w:t>Monthly</w:t>
            </w:r>
          </w:p>
        </w:tc>
      </w:tr>
      <w:tr w:rsidR="0052608A" w:rsidRPr="0066646D" w14:paraId="7F047037" w14:textId="77777777" w:rsidTr="00824E5C">
        <w:tc>
          <w:tcPr>
            <w:tcW w:w="2263" w:type="dxa"/>
            <w:vAlign w:val="center"/>
          </w:tcPr>
          <w:p w14:paraId="1A7D8F4F" w14:textId="77777777" w:rsidR="0052608A" w:rsidRPr="0066646D" w:rsidRDefault="0052608A" w:rsidP="0052608A">
            <w:pPr>
              <w:jc w:val="both"/>
              <w:outlineLvl w:val="0"/>
              <w:rPr>
                <w:rFonts w:asciiTheme="majorHAnsi" w:hAnsiTheme="majorHAnsi" w:cstheme="minorHAnsi"/>
                <w:szCs w:val="32"/>
              </w:rPr>
            </w:pPr>
            <w:r w:rsidRPr="0066646D">
              <w:rPr>
                <w:rFonts w:asciiTheme="majorHAnsi" w:hAnsiTheme="majorHAnsi" w:cstheme="minorHAnsi"/>
                <w:szCs w:val="32"/>
              </w:rPr>
              <w:t>Finance Lease</w:t>
            </w:r>
          </w:p>
          <w:p w14:paraId="030CDE85" w14:textId="575FE40A" w:rsidR="0052608A" w:rsidRPr="0066646D" w:rsidRDefault="0052608A" w:rsidP="0052608A">
            <w:pPr>
              <w:jc w:val="both"/>
              <w:outlineLvl w:val="0"/>
              <w:rPr>
                <w:rFonts w:asciiTheme="majorHAnsi" w:hAnsiTheme="majorHAnsi" w:cstheme="minorHAnsi"/>
                <w:szCs w:val="32"/>
              </w:rPr>
            </w:pPr>
          </w:p>
        </w:tc>
        <w:tc>
          <w:tcPr>
            <w:tcW w:w="2694" w:type="dxa"/>
            <w:vAlign w:val="center"/>
          </w:tcPr>
          <w:p w14:paraId="1FC14672" w14:textId="1403974B" w:rsidR="0052608A" w:rsidRPr="0066646D" w:rsidRDefault="0052608A" w:rsidP="007E7376">
            <w:pPr>
              <w:tabs>
                <w:tab w:val="center" w:pos="4513"/>
                <w:tab w:val="right" w:pos="9026"/>
              </w:tabs>
              <w:spacing w:before="8" w:after="8"/>
            </w:pPr>
            <w:r w:rsidRPr="0066646D">
              <w:t>Any</w:t>
            </w:r>
          </w:p>
        </w:tc>
        <w:tc>
          <w:tcPr>
            <w:tcW w:w="3421" w:type="dxa"/>
            <w:vAlign w:val="center"/>
          </w:tcPr>
          <w:p w14:paraId="54B84ABF" w14:textId="084B586C" w:rsidR="0052608A" w:rsidRPr="0066646D" w:rsidRDefault="0052608A" w:rsidP="007E7376">
            <w:pPr>
              <w:tabs>
                <w:tab w:val="center" w:pos="4513"/>
                <w:tab w:val="right" w:pos="9026"/>
              </w:tabs>
              <w:spacing w:before="8" w:after="8"/>
            </w:pPr>
            <w:r w:rsidRPr="0066646D">
              <w:t>ESFA prior approval required</w:t>
            </w:r>
          </w:p>
        </w:tc>
        <w:tc>
          <w:tcPr>
            <w:tcW w:w="4133" w:type="dxa"/>
            <w:vAlign w:val="center"/>
          </w:tcPr>
          <w:p w14:paraId="3D186F3B" w14:textId="77777777" w:rsidR="0052608A" w:rsidRPr="0066646D" w:rsidRDefault="0052608A" w:rsidP="007E7376">
            <w:pPr>
              <w:tabs>
                <w:tab w:val="center" w:pos="4513"/>
                <w:tab w:val="right" w:pos="9026"/>
              </w:tabs>
              <w:spacing w:before="8" w:after="8"/>
            </w:pPr>
          </w:p>
        </w:tc>
        <w:tc>
          <w:tcPr>
            <w:tcW w:w="1437" w:type="dxa"/>
            <w:vAlign w:val="center"/>
          </w:tcPr>
          <w:p w14:paraId="6D700F36" w14:textId="0C1E0997" w:rsidR="0052608A" w:rsidRPr="0066646D" w:rsidRDefault="0052608A" w:rsidP="007E7376">
            <w:pPr>
              <w:tabs>
                <w:tab w:val="center" w:pos="4513"/>
                <w:tab w:val="right" w:pos="9026"/>
              </w:tabs>
              <w:spacing w:before="8" w:after="8"/>
              <w:jc w:val="center"/>
            </w:pPr>
            <w:r w:rsidRPr="0066646D">
              <w:t>As required</w:t>
            </w:r>
          </w:p>
        </w:tc>
      </w:tr>
      <w:tr w:rsidR="0052608A" w:rsidRPr="0066646D" w14:paraId="3594D6BB" w14:textId="77777777" w:rsidTr="00824E5C">
        <w:tc>
          <w:tcPr>
            <w:tcW w:w="2263" w:type="dxa"/>
            <w:vAlign w:val="center"/>
          </w:tcPr>
          <w:p w14:paraId="1D4EE5FB" w14:textId="25F759E1" w:rsidR="0052608A" w:rsidRPr="0066646D" w:rsidRDefault="0052608A" w:rsidP="0052608A">
            <w:pPr>
              <w:tabs>
                <w:tab w:val="left" w:pos="3686"/>
              </w:tabs>
              <w:jc w:val="both"/>
              <w:rPr>
                <w:rFonts w:asciiTheme="majorHAnsi" w:hAnsiTheme="majorHAnsi" w:cstheme="minorHAnsi"/>
                <w:szCs w:val="32"/>
              </w:rPr>
            </w:pPr>
            <w:r w:rsidRPr="0066646D">
              <w:rPr>
                <w:rFonts w:asciiTheme="minorHAnsi" w:hAnsiTheme="minorHAnsi" w:cstheme="minorBidi"/>
              </w:rPr>
              <w:t>Operating Lease</w:t>
            </w:r>
          </w:p>
          <w:p w14:paraId="6613C1EA" w14:textId="77777777" w:rsidR="0052608A" w:rsidRPr="0066646D" w:rsidRDefault="0052608A" w:rsidP="0052608A">
            <w:pPr>
              <w:jc w:val="both"/>
              <w:outlineLvl w:val="0"/>
            </w:pPr>
          </w:p>
        </w:tc>
        <w:tc>
          <w:tcPr>
            <w:tcW w:w="2694" w:type="dxa"/>
            <w:vAlign w:val="center"/>
          </w:tcPr>
          <w:p w14:paraId="1F032718" w14:textId="3419747F" w:rsidR="0052608A" w:rsidRPr="0066646D" w:rsidRDefault="0052608A" w:rsidP="007E7376">
            <w:pPr>
              <w:tabs>
                <w:tab w:val="center" w:pos="4513"/>
                <w:tab w:val="right" w:pos="9026"/>
              </w:tabs>
              <w:spacing w:before="8" w:after="8"/>
            </w:pPr>
            <w:r w:rsidRPr="0066646D">
              <w:t>Any</w:t>
            </w:r>
          </w:p>
        </w:tc>
        <w:tc>
          <w:tcPr>
            <w:tcW w:w="3421" w:type="dxa"/>
            <w:vAlign w:val="center"/>
          </w:tcPr>
          <w:p w14:paraId="56FF8B93" w14:textId="4E807DA1" w:rsidR="0052608A" w:rsidRPr="0066646D" w:rsidRDefault="0052608A" w:rsidP="007E7376">
            <w:pPr>
              <w:tabs>
                <w:tab w:val="center" w:pos="4513"/>
                <w:tab w:val="right" w:pos="9026"/>
              </w:tabs>
              <w:spacing w:before="8" w:after="8"/>
            </w:pPr>
            <w:r w:rsidRPr="0066646D">
              <w:t xml:space="preserve">Prior approval from the </w:t>
            </w:r>
            <w:r w:rsidR="009758BD" w:rsidRPr="0066646D">
              <w:t>Finance</w:t>
            </w:r>
            <w:r w:rsidRPr="0066646D">
              <w:t>s Committee</w:t>
            </w:r>
          </w:p>
        </w:tc>
        <w:tc>
          <w:tcPr>
            <w:tcW w:w="4133" w:type="dxa"/>
            <w:vAlign w:val="center"/>
          </w:tcPr>
          <w:p w14:paraId="249A67A9" w14:textId="6BEE4A9B" w:rsidR="0052608A" w:rsidRPr="0066646D" w:rsidRDefault="0052608A" w:rsidP="007E7376">
            <w:pPr>
              <w:tabs>
                <w:tab w:val="center" w:pos="4513"/>
                <w:tab w:val="right" w:pos="9026"/>
              </w:tabs>
              <w:spacing w:before="8" w:after="8"/>
            </w:pPr>
            <w:r w:rsidRPr="0066646D">
              <w:t>Three quotes required</w:t>
            </w:r>
          </w:p>
        </w:tc>
        <w:tc>
          <w:tcPr>
            <w:tcW w:w="1437" w:type="dxa"/>
            <w:vAlign w:val="center"/>
          </w:tcPr>
          <w:p w14:paraId="52878F64" w14:textId="3552855C" w:rsidR="0052608A" w:rsidRPr="0066646D" w:rsidRDefault="0052608A" w:rsidP="007E7376">
            <w:pPr>
              <w:tabs>
                <w:tab w:val="center" w:pos="4513"/>
                <w:tab w:val="right" w:pos="9026"/>
              </w:tabs>
              <w:spacing w:before="8" w:after="8"/>
              <w:jc w:val="center"/>
            </w:pPr>
            <w:r w:rsidRPr="0066646D">
              <w:t>As required</w:t>
            </w:r>
          </w:p>
        </w:tc>
      </w:tr>
      <w:tr w:rsidR="000E46EE" w:rsidRPr="0066646D" w14:paraId="22599739" w14:textId="77777777" w:rsidTr="00824E5C">
        <w:tc>
          <w:tcPr>
            <w:tcW w:w="2263" w:type="dxa"/>
            <w:vAlign w:val="center"/>
          </w:tcPr>
          <w:p w14:paraId="0EDBA2A0" w14:textId="77777777" w:rsidR="000E46EE" w:rsidRPr="0066646D" w:rsidRDefault="000E46EE" w:rsidP="007E7376">
            <w:pPr>
              <w:tabs>
                <w:tab w:val="center" w:pos="4513"/>
                <w:tab w:val="right" w:pos="9026"/>
              </w:tabs>
              <w:spacing w:before="8" w:after="8" w:line="276" w:lineRule="auto"/>
            </w:pPr>
            <w:r w:rsidRPr="0066646D">
              <w:t>Leasehold or tenancy agreement exceeding seven years</w:t>
            </w:r>
          </w:p>
        </w:tc>
        <w:tc>
          <w:tcPr>
            <w:tcW w:w="2694" w:type="dxa"/>
            <w:vAlign w:val="center"/>
          </w:tcPr>
          <w:p w14:paraId="1AFA7A91" w14:textId="77777777" w:rsidR="000E46EE" w:rsidRPr="0066646D" w:rsidRDefault="000E46EE" w:rsidP="007E7376">
            <w:pPr>
              <w:tabs>
                <w:tab w:val="center" w:pos="4513"/>
                <w:tab w:val="right" w:pos="9026"/>
              </w:tabs>
              <w:spacing w:before="8" w:after="8" w:line="276" w:lineRule="auto"/>
            </w:pPr>
            <w:r w:rsidRPr="0066646D">
              <w:t>Any</w:t>
            </w:r>
          </w:p>
        </w:tc>
        <w:tc>
          <w:tcPr>
            <w:tcW w:w="3421" w:type="dxa"/>
            <w:vAlign w:val="center"/>
          </w:tcPr>
          <w:p w14:paraId="163CC71F" w14:textId="7D435D9C" w:rsidR="000E46EE" w:rsidRPr="0066646D" w:rsidRDefault="00E369E6" w:rsidP="007E7376">
            <w:pPr>
              <w:tabs>
                <w:tab w:val="center" w:pos="4513"/>
                <w:tab w:val="right" w:pos="9026"/>
              </w:tabs>
              <w:spacing w:before="8" w:after="8" w:line="276" w:lineRule="auto"/>
            </w:pPr>
            <w:r w:rsidRPr="0066646D">
              <w:t>Board of trustees</w:t>
            </w:r>
            <w:r w:rsidR="000E46EE" w:rsidRPr="0066646D">
              <w:t xml:space="preserve"> plus prior ESFA approval</w:t>
            </w:r>
          </w:p>
        </w:tc>
        <w:tc>
          <w:tcPr>
            <w:tcW w:w="4133" w:type="dxa"/>
            <w:vAlign w:val="center"/>
          </w:tcPr>
          <w:p w14:paraId="34AFBDD0" w14:textId="77777777" w:rsidR="000E46EE" w:rsidRPr="0066646D" w:rsidRDefault="000E46EE" w:rsidP="007E7376">
            <w:pPr>
              <w:tabs>
                <w:tab w:val="center" w:pos="4513"/>
                <w:tab w:val="right" w:pos="9026"/>
              </w:tabs>
              <w:spacing w:before="8" w:after="8" w:line="276" w:lineRule="auto"/>
            </w:pPr>
            <w:r w:rsidRPr="0066646D">
              <w:t xml:space="preserve"> </w:t>
            </w:r>
          </w:p>
        </w:tc>
        <w:tc>
          <w:tcPr>
            <w:tcW w:w="1437" w:type="dxa"/>
            <w:vAlign w:val="center"/>
          </w:tcPr>
          <w:p w14:paraId="5511AE53" w14:textId="77777777" w:rsidR="000E46EE" w:rsidRPr="0066646D" w:rsidRDefault="000E46EE" w:rsidP="007E7376">
            <w:pPr>
              <w:tabs>
                <w:tab w:val="center" w:pos="4513"/>
                <w:tab w:val="right" w:pos="9026"/>
              </w:tabs>
              <w:spacing w:before="8" w:after="8" w:line="276" w:lineRule="auto"/>
              <w:jc w:val="center"/>
            </w:pPr>
            <w:r w:rsidRPr="0066646D">
              <w:t>As required</w:t>
            </w:r>
          </w:p>
        </w:tc>
      </w:tr>
      <w:tr w:rsidR="000E46EE" w:rsidRPr="000E46EE" w14:paraId="30A597EF" w14:textId="77777777" w:rsidTr="00824E5C">
        <w:trPr>
          <w:trHeight w:val="391"/>
        </w:trPr>
        <w:tc>
          <w:tcPr>
            <w:tcW w:w="2263" w:type="dxa"/>
            <w:vAlign w:val="center"/>
          </w:tcPr>
          <w:p w14:paraId="620B1CDA" w14:textId="77777777" w:rsidR="000E46EE" w:rsidRPr="0066646D" w:rsidRDefault="000E46EE" w:rsidP="007E7376">
            <w:pPr>
              <w:tabs>
                <w:tab w:val="center" w:pos="4513"/>
                <w:tab w:val="right" w:pos="9026"/>
              </w:tabs>
              <w:spacing w:before="8" w:after="8" w:line="276" w:lineRule="auto"/>
            </w:pPr>
            <w:r w:rsidRPr="0066646D">
              <w:t>Borrowing</w:t>
            </w:r>
          </w:p>
        </w:tc>
        <w:tc>
          <w:tcPr>
            <w:tcW w:w="2694" w:type="dxa"/>
            <w:vAlign w:val="center"/>
          </w:tcPr>
          <w:p w14:paraId="5F5ECB68" w14:textId="77777777" w:rsidR="000E46EE" w:rsidRPr="0066646D" w:rsidRDefault="000E46EE" w:rsidP="007E7376">
            <w:pPr>
              <w:tabs>
                <w:tab w:val="center" w:pos="4513"/>
                <w:tab w:val="right" w:pos="9026"/>
              </w:tabs>
              <w:spacing w:before="8" w:after="8" w:line="276" w:lineRule="auto"/>
            </w:pPr>
            <w:r w:rsidRPr="0066646D">
              <w:t>Any</w:t>
            </w:r>
          </w:p>
        </w:tc>
        <w:tc>
          <w:tcPr>
            <w:tcW w:w="3421" w:type="dxa"/>
            <w:vAlign w:val="center"/>
          </w:tcPr>
          <w:p w14:paraId="52AE4A6B" w14:textId="77777777" w:rsidR="000E46EE" w:rsidRPr="0066646D" w:rsidRDefault="000E46EE" w:rsidP="007E7376">
            <w:pPr>
              <w:tabs>
                <w:tab w:val="center" w:pos="4513"/>
                <w:tab w:val="right" w:pos="9026"/>
              </w:tabs>
              <w:spacing w:before="8" w:after="8" w:line="276" w:lineRule="auto"/>
            </w:pPr>
            <w:r w:rsidRPr="0066646D">
              <w:t>ESFA approval required</w:t>
            </w:r>
          </w:p>
        </w:tc>
        <w:tc>
          <w:tcPr>
            <w:tcW w:w="4133" w:type="dxa"/>
            <w:vAlign w:val="center"/>
          </w:tcPr>
          <w:p w14:paraId="0369CB75" w14:textId="77777777" w:rsidR="000E46EE" w:rsidRPr="0066646D" w:rsidRDefault="000E46EE" w:rsidP="007E7376">
            <w:pPr>
              <w:tabs>
                <w:tab w:val="center" w:pos="4513"/>
                <w:tab w:val="right" w:pos="9026"/>
              </w:tabs>
              <w:spacing w:before="8" w:after="8" w:line="276" w:lineRule="auto"/>
            </w:pPr>
          </w:p>
        </w:tc>
        <w:tc>
          <w:tcPr>
            <w:tcW w:w="1437" w:type="dxa"/>
            <w:vAlign w:val="center"/>
          </w:tcPr>
          <w:p w14:paraId="0CAF0027" w14:textId="77777777" w:rsidR="000E46EE" w:rsidRPr="000E46EE" w:rsidRDefault="000E46EE" w:rsidP="007E7376">
            <w:pPr>
              <w:tabs>
                <w:tab w:val="center" w:pos="4513"/>
                <w:tab w:val="right" w:pos="9026"/>
              </w:tabs>
              <w:spacing w:before="8" w:after="8" w:line="276" w:lineRule="auto"/>
              <w:jc w:val="center"/>
            </w:pPr>
            <w:r w:rsidRPr="0066646D">
              <w:t>As required</w:t>
            </w:r>
          </w:p>
        </w:tc>
      </w:tr>
      <w:bookmarkEnd w:id="33"/>
    </w:tbl>
    <w:p w14:paraId="2BD463B9" w14:textId="3C577679" w:rsidR="0016046D" w:rsidRPr="00714C42" w:rsidRDefault="0016046D" w:rsidP="0052608A">
      <w:pPr>
        <w:rPr>
          <w:rFonts w:asciiTheme="minorHAnsi" w:hAnsiTheme="minorHAnsi" w:cstheme="minorHAnsi"/>
          <w:szCs w:val="32"/>
        </w:rPr>
      </w:pPr>
    </w:p>
    <w:sectPr w:rsidR="0016046D" w:rsidRPr="00714C42" w:rsidSect="0052608A">
      <w:headerReference w:type="even" r:id="rId15"/>
      <w:headerReference w:type="default" r:id="rId16"/>
      <w:headerReference w:type="first" r:id="rId17"/>
      <w:pgSz w:w="16838" w:h="11906" w:orient="landscape"/>
      <w:pgMar w:top="1440" w:right="1440" w:bottom="1135"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8DFA" w14:textId="77777777" w:rsidR="0071312C" w:rsidRDefault="0071312C" w:rsidP="00AD4155">
      <w:r>
        <w:separator/>
      </w:r>
    </w:p>
  </w:endnote>
  <w:endnote w:type="continuationSeparator" w:id="0">
    <w:p w14:paraId="500F36AF" w14:textId="77777777" w:rsidR="0071312C" w:rsidRDefault="0071312C"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C5F62B5-84D9-403B-9C6A-B09F225E3D5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8A38" w14:textId="77777777" w:rsidR="0071312C" w:rsidRDefault="0071312C" w:rsidP="00AD4155">
      <w:r>
        <w:separator/>
      </w:r>
    </w:p>
  </w:footnote>
  <w:footnote w:type="continuationSeparator" w:id="0">
    <w:p w14:paraId="7B8B7F88" w14:textId="77777777" w:rsidR="0071312C" w:rsidRDefault="0071312C"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BDE5" w14:textId="339A0D5E" w:rsidR="00574D29" w:rsidRDefault="00574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DF14" w14:textId="37FFAF35" w:rsidR="00574D29" w:rsidRDefault="00574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2A3" w14:textId="52B98E6F" w:rsidR="00574D29" w:rsidRDefault="00574D29">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574D29" w:rsidRPr="00935945" w:rsidRDefault="00574D29">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574D29" w:rsidRPr="00935945" w:rsidRDefault="00574D29">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A343" w14:textId="53EA5971" w:rsidR="00574D29" w:rsidRDefault="00574D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59D" w14:textId="6076315F" w:rsidR="00574D29" w:rsidRPr="00827A27" w:rsidRDefault="00574D29" w:rsidP="000E46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7B2E" w14:textId="66F158D9" w:rsidR="00574D29" w:rsidRDefault="00574D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812F" w14:textId="3150E3E0" w:rsidR="00574D29" w:rsidRDefault="00574D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4459976F" w:rsidR="00574D29" w:rsidRDefault="00574D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38C46F61" w:rsidR="00574D29" w:rsidRDefault="00574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913B9"/>
    <w:multiLevelType w:val="hybridMultilevel"/>
    <w:tmpl w:val="A7E0A7A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2D9D2B19"/>
    <w:multiLevelType w:val="hybridMultilevel"/>
    <w:tmpl w:val="16E824E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51A20902"/>
    <w:lvl w:ilvl="0" w:tplc="327C0C4E">
      <w:start w:val="1"/>
      <w:numFmt w:val="bullet"/>
      <w:pStyle w:val="PolicyBullets"/>
      <w:lvlText w:val=""/>
      <w:lvlJc w:val="left"/>
      <w:pPr>
        <w:ind w:left="1925" w:hanging="360"/>
      </w:pPr>
      <w:rPr>
        <w:rFonts w:ascii="Symbol" w:hAnsi="Symbol" w:hint="default"/>
        <w:color w:val="auto"/>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B15AD"/>
    <w:multiLevelType w:val="hybridMultilevel"/>
    <w:tmpl w:val="F7A4E7A2"/>
    <w:lvl w:ilvl="0" w:tplc="F4E0D3E2">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6"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691805558">
    <w:abstractNumId w:val="22"/>
  </w:num>
  <w:num w:numId="2" w16cid:durableId="1268392195">
    <w:abstractNumId w:val="24"/>
  </w:num>
  <w:num w:numId="3" w16cid:durableId="821656730">
    <w:abstractNumId w:val="13"/>
  </w:num>
  <w:num w:numId="4" w16cid:durableId="1611081129">
    <w:abstractNumId w:val="11"/>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38426894">
    <w:abstractNumId w:val="0"/>
  </w:num>
  <w:num w:numId="6" w16cid:durableId="571156381">
    <w:abstractNumId w:val="1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56212582">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660083733">
    <w:abstractNumId w:val="17"/>
  </w:num>
  <w:num w:numId="9" w16cid:durableId="121460400">
    <w:abstractNumId w:val="18"/>
  </w:num>
  <w:num w:numId="10" w16cid:durableId="1846285017">
    <w:abstractNumId w:val="5"/>
  </w:num>
  <w:num w:numId="11" w16cid:durableId="1817722615">
    <w:abstractNumId w:val="10"/>
  </w:num>
  <w:num w:numId="12" w16cid:durableId="509418662">
    <w:abstractNumId w:val="25"/>
  </w:num>
  <w:num w:numId="13" w16cid:durableId="52394239">
    <w:abstractNumId w:val="26"/>
  </w:num>
  <w:num w:numId="14" w16cid:durableId="2040662227">
    <w:abstractNumId w:val="15"/>
  </w:num>
  <w:num w:numId="15" w16cid:durableId="504051899">
    <w:abstractNumId w:val="7"/>
  </w:num>
  <w:num w:numId="16" w16cid:durableId="1381441426">
    <w:abstractNumId w:val="2"/>
  </w:num>
  <w:num w:numId="17" w16cid:durableId="1597520530">
    <w:abstractNumId w:val="6"/>
  </w:num>
  <w:num w:numId="18" w16cid:durableId="1786071509">
    <w:abstractNumId w:val="12"/>
  </w:num>
  <w:num w:numId="19" w16cid:durableId="2015567695">
    <w:abstractNumId w:val="9"/>
  </w:num>
  <w:num w:numId="20" w16cid:durableId="1091851262">
    <w:abstractNumId w:val="19"/>
  </w:num>
  <w:num w:numId="21" w16cid:durableId="1565676007">
    <w:abstractNumId w:val="3"/>
  </w:num>
  <w:num w:numId="22" w16cid:durableId="148326078">
    <w:abstractNumId w:val="16"/>
  </w:num>
  <w:num w:numId="23" w16cid:durableId="1985088410">
    <w:abstractNumId w:val="1"/>
  </w:num>
  <w:num w:numId="24" w16cid:durableId="1060054181">
    <w:abstractNumId w:val="21"/>
  </w:num>
  <w:num w:numId="25" w16cid:durableId="1063720247">
    <w:abstractNumId w:val="23"/>
  </w:num>
  <w:num w:numId="26" w16cid:durableId="1369447854">
    <w:abstractNumId w:val="11"/>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999"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099332055">
    <w:abstractNumId w:val="14"/>
  </w:num>
  <w:num w:numId="28" w16cid:durableId="432626340">
    <w:abstractNumId w:val="20"/>
  </w:num>
  <w:num w:numId="29" w16cid:durableId="1460958199">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283"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836506924">
    <w:abstractNumId w:val="8"/>
  </w:num>
  <w:num w:numId="31" w16cid:durableId="284774856">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591427435">
    <w:abstractNumId w:val="4"/>
  </w:num>
  <w:num w:numId="33" w16cid:durableId="717782581">
    <w:abstractNumId w:val="11"/>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180901079">
    <w:abstractNumId w:val="11"/>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IwNjIysTQxsDAyMzBR0lEKTi0uzszPAymwrAUACMPNuCwAAAA="/>
  </w:docVars>
  <w:rsids>
    <w:rsidRoot w:val="0055675B"/>
    <w:rsid w:val="00001421"/>
    <w:rsid w:val="000022A1"/>
    <w:rsid w:val="00004242"/>
    <w:rsid w:val="000100B6"/>
    <w:rsid w:val="0001177F"/>
    <w:rsid w:val="000118E2"/>
    <w:rsid w:val="00012052"/>
    <w:rsid w:val="000149D5"/>
    <w:rsid w:val="00014CF2"/>
    <w:rsid w:val="000165F4"/>
    <w:rsid w:val="00020136"/>
    <w:rsid w:val="00020924"/>
    <w:rsid w:val="000229DE"/>
    <w:rsid w:val="00025A79"/>
    <w:rsid w:val="00026E96"/>
    <w:rsid w:val="0003060D"/>
    <w:rsid w:val="000309F5"/>
    <w:rsid w:val="00030C87"/>
    <w:rsid w:val="000342EF"/>
    <w:rsid w:val="00034774"/>
    <w:rsid w:val="0003480D"/>
    <w:rsid w:val="00035A9C"/>
    <w:rsid w:val="00037174"/>
    <w:rsid w:val="000402B3"/>
    <w:rsid w:val="0004034D"/>
    <w:rsid w:val="00040709"/>
    <w:rsid w:val="00040C15"/>
    <w:rsid w:val="00040E9B"/>
    <w:rsid w:val="0004203D"/>
    <w:rsid w:val="00042069"/>
    <w:rsid w:val="000424D3"/>
    <w:rsid w:val="00045073"/>
    <w:rsid w:val="00046FC1"/>
    <w:rsid w:val="00047288"/>
    <w:rsid w:val="000510BB"/>
    <w:rsid w:val="00055C65"/>
    <w:rsid w:val="00056533"/>
    <w:rsid w:val="000567E2"/>
    <w:rsid w:val="000606F6"/>
    <w:rsid w:val="000624B2"/>
    <w:rsid w:val="00064CA4"/>
    <w:rsid w:val="00065C6B"/>
    <w:rsid w:val="0007172E"/>
    <w:rsid w:val="000717B5"/>
    <w:rsid w:val="0007266F"/>
    <w:rsid w:val="00073D73"/>
    <w:rsid w:val="00074C8C"/>
    <w:rsid w:val="00075437"/>
    <w:rsid w:val="00080091"/>
    <w:rsid w:val="00080783"/>
    <w:rsid w:val="00082668"/>
    <w:rsid w:val="000831F9"/>
    <w:rsid w:val="0008458D"/>
    <w:rsid w:val="00087F57"/>
    <w:rsid w:val="0009203F"/>
    <w:rsid w:val="000933DC"/>
    <w:rsid w:val="00095119"/>
    <w:rsid w:val="00095AF6"/>
    <w:rsid w:val="00095EF3"/>
    <w:rsid w:val="000A092A"/>
    <w:rsid w:val="000A0E7E"/>
    <w:rsid w:val="000A1305"/>
    <w:rsid w:val="000A4907"/>
    <w:rsid w:val="000A6B9C"/>
    <w:rsid w:val="000A738F"/>
    <w:rsid w:val="000B1080"/>
    <w:rsid w:val="000B11F3"/>
    <w:rsid w:val="000B16CC"/>
    <w:rsid w:val="000B1AFB"/>
    <w:rsid w:val="000B209E"/>
    <w:rsid w:val="000B213E"/>
    <w:rsid w:val="000B44E5"/>
    <w:rsid w:val="000B4624"/>
    <w:rsid w:val="000B46CC"/>
    <w:rsid w:val="000B4CAC"/>
    <w:rsid w:val="000B7B80"/>
    <w:rsid w:val="000C061E"/>
    <w:rsid w:val="000C3F05"/>
    <w:rsid w:val="000C61BF"/>
    <w:rsid w:val="000C65C8"/>
    <w:rsid w:val="000C65CB"/>
    <w:rsid w:val="000C70E2"/>
    <w:rsid w:val="000C7259"/>
    <w:rsid w:val="000C747B"/>
    <w:rsid w:val="000D00DE"/>
    <w:rsid w:val="000D32B6"/>
    <w:rsid w:val="000D5C10"/>
    <w:rsid w:val="000D618A"/>
    <w:rsid w:val="000D6CB9"/>
    <w:rsid w:val="000E006C"/>
    <w:rsid w:val="000E12CE"/>
    <w:rsid w:val="000E1307"/>
    <w:rsid w:val="000E1630"/>
    <w:rsid w:val="000E2C37"/>
    <w:rsid w:val="000E3A6F"/>
    <w:rsid w:val="000E3CA7"/>
    <w:rsid w:val="000E451C"/>
    <w:rsid w:val="000E46EE"/>
    <w:rsid w:val="000E4979"/>
    <w:rsid w:val="000E609D"/>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87B"/>
    <w:rsid w:val="00115A0E"/>
    <w:rsid w:val="001161EF"/>
    <w:rsid w:val="00120C1C"/>
    <w:rsid w:val="00120D87"/>
    <w:rsid w:val="00121284"/>
    <w:rsid w:val="00122ED0"/>
    <w:rsid w:val="0012519B"/>
    <w:rsid w:val="00125A74"/>
    <w:rsid w:val="001274D5"/>
    <w:rsid w:val="00127C83"/>
    <w:rsid w:val="00130DAE"/>
    <w:rsid w:val="001328E8"/>
    <w:rsid w:val="001345D5"/>
    <w:rsid w:val="001352CE"/>
    <w:rsid w:val="00135F15"/>
    <w:rsid w:val="00137FD8"/>
    <w:rsid w:val="0014320D"/>
    <w:rsid w:val="0014667C"/>
    <w:rsid w:val="0015350F"/>
    <w:rsid w:val="00156C6A"/>
    <w:rsid w:val="0016046D"/>
    <w:rsid w:val="00160AD0"/>
    <w:rsid w:val="001619CD"/>
    <w:rsid w:val="001635B2"/>
    <w:rsid w:val="001635E9"/>
    <w:rsid w:val="00164909"/>
    <w:rsid w:val="00164A28"/>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5A9C"/>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31AB"/>
    <w:rsid w:val="001B4BEB"/>
    <w:rsid w:val="001B60C3"/>
    <w:rsid w:val="001B76C4"/>
    <w:rsid w:val="001B787C"/>
    <w:rsid w:val="001C0534"/>
    <w:rsid w:val="001C173E"/>
    <w:rsid w:val="001C181C"/>
    <w:rsid w:val="001C2C1A"/>
    <w:rsid w:val="001C3BD6"/>
    <w:rsid w:val="001C3D56"/>
    <w:rsid w:val="001C55C2"/>
    <w:rsid w:val="001C6D2B"/>
    <w:rsid w:val="001D05A9"/>
    <w:rsid w:val="001D0981"/>
    <w:rsid w:val="001D4A52"/>
    <w:rsid w:val="001D5987"/>
    <w:rsid w:val="001D5A0D"/>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2171"/>
    <w:rsid w:val="00243C32"/>
    <w:rsid w:val="002455D7"/>
    <w:rsid w:val="00246C04"/>
    <w:rsid w:val="002470C8"/>
    <w:rsid w:val="00251899"/>
    <w:rsid w:val="00253BCA"/>
    <w:rsid w:val="00257577"/>
    <w:rsid w:val="00257790"/>
    <w:rsid w:val="00257E69"/>
    <w:rsid w:val="00261B84"/>
    <w:rsid w:val="002636F6"/>
    <w:rsid w:val="00264EA7"/>
    <w:rsid w:val="00265515"/>
    <w:rsid w:val="00266795"/>
    <w:rsid w:val="0026779E"/>
    <w:rsid w:val="002702CE"/>
    <w:rsid w:val="0027048C"/>
    <w:rsid w:val="00271835"/>
    <w:rsid w:val="002777FB"/>
    <w:rsid w:val="0028203B"/>
    <w:rsid w:val="0028407E"/>
    <w:rsid w:val="00285028"/>
    <w:rsid w:val="00285083"/>
    <w:rsid w:val="00285505"/>
    <w:rsid w:val="00290B9D"/>
    <w:rsid w:val="0029265C"/>
    <w:rsid w:val="00296326"/>
    <w:rsid w:val="002A0C00"/>
    <w:rsid w:val="002A12B6"/>
    <w:rsid w:val="002A2040"/>
    <w:rsid w:val="002A29F0"/>
    <w:rsid w:val="002A3C43"/>
    <w:rsid w:val="002A43B2"/>
    <w:rsid w:val="002B016F"/>
    <w:rsid w:val="002B0F16"/>
    <w:rsid w:val="002B6711"/>
    <w:rsid w:val="002C1100"/>
    <w:rsid w:val="002C1447"/>
    <w:rsid w:val="002C20A7"/>
    <w:rsid w:val="002C220C"/>
    <w:rsid w:val="002C3AF5"/>
    <w:rsid w:val="002C4AE2"/>
    <w:rsid w:val="002C4D1D"/>
    <w:rsid w:val="002C64EB"/>
    <w:rsid w:val="002C7582"/>
    <w:rsid w:val="002D2F7E"/>
    <w:rsid w:val="002D349C"/>
    <w:rsid w:val="002D4754"/>
    <w:rsid w:val="002E1994"/>
    <w:rsid w:val="002E2188"/>
    <w:rsid w:val="002E324D"/>
    <w:rsid w:val="002E404D"/>
    <w:rsid w:val="002E5B12"/>
    <w:rsid w:val="002E6879"/>
    <w:rsid w:val="002E6B97"/>
    <w:rsid w:val="002F0D3C"/>
    <w:rsid w:val="002F166B"/>
    <w:rsid w:val="002F1A00"/>
    <w:rsid w:val="002F2CF8"/>
    <w:rsid w:val="003001A4"/>
    <w:rsid w:val="0030038C"/>
    <w:rsid w:val="0030090B"/>
    <w:rsid w:val="00303A6F"/>
    <w:rsid w:val="00306711"/>
    <w:rsid w:val="00310ACF"/>
    <w:rsid w:val="00310C08"/>
    <w:rsid w:val="00310EF5"/>
    <w:rsid w:val="003129E4"/>
    <w:rsid w:val="00313692"/>
    <w:rsid w:val="00313D6E"/>
    <w:rsid w:val="00314964"/>
    <w:rsid w:val="00315271"/>
    <w:rsid w:val="0032130A"/>
    <w:rsid w:val="00321E87"/>
    <w:rsid w:val="00322E1A"/>
    <w:rsid w:val="003251F2"/>
    <w:rsid w:val="00326609"/>
    <w:rsid w:val="00326785"/>
    <w:rsid w:val="00330B5C"/>
    <w:rsid w:val="00330BD2"/>
    <w:rsid w:val="00330F8D"/>
    <w:rsid w:val="00333C39"/>
    <w:rsid w:val="0033414D"/>
    <w:rsid w:val="00340FE9"/>
    <w:rsid w:val="0034320E"/>
    <w:rsid w:val="0034450D"/>
    <w:rsid w:val="00345D81"/>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0E2D"/>
    <w:rsid w:val="003911EB"/>
    <w:rsid w:val="00392B55"/>
    <w:rsid w:val="003932D7"/>
    <w:rsid w:val="00393B37"/>
    <w:rsid w:val="00394245"/>
    <w:rsid w:val="003954ED"/>
    <w:rsid w:val="00395526"/>
    <w:rsid w:val="003963D7"/>
    <w:rsid w:val="003979AE"/>
    <w:rsid w:val="00397B2A"/>
    <w:rsid w:val="003A1BB2"/>
    <w:rsid w:val="003A32BA"/>
    <w:rsid w:val="003A3865"/>
    <w:rsid w:val="003A4C04"/>
    <w:rsid w:val="003A6AA1"/>
    <w:rsid w:val="003B0AE5"/>
    <w:rsid w:val="003B1ABB"/>
    <w:rsid w:val="003B207A"/>
    <w:rsid w:val="003B25E8"/>
    <w:rsid w:val="003B2793"/>
    <w:rsid w:val="003B2C96"/>
    <w:rsid w:val="003B34B0"/>
    <w:rsid w:val="003B5119"/>
    <w:rsid w:val="003B5AAE"/>
    <w:rsid w:val="003B628D"/>
    <w:rsid w:val="003B7AAC"/>
    <w:rsid w:val="003C0592"/>
    <w:rsid w:val="003C170E"/>
    <w:rsid w:val="003C35A4"/>
    <w:rsid w:val="003C3C79"/>
    <w:rsid w:val="003C3F23"/>
    <w:rsid w:val="003C4278"/>
    <w:rsid w:val="003D0939"/>
    <w:rsid w:val="003D4877"/>
    <w:rsid w:val="003D4CAA"/>
    <w:rsid w:val="003D5965"/>
    <w:rsid w:val="003D6EF1"/>
    <w:rsid w:val="003D7107"/>
    <w:rsid w:val="003E0A1D"/>
    <w:rsid w:val="003E1EBC"/>
    <w:rsid w:val="003E2025"/>
    <w:rsid w:val="003E2874"/>
    <w:rsid w:val="003E4129"/>
    <w:rsid w:val="003E4F5E"/>
    <w:rsid w:val="003E50AF"/>
    <w:rsid w:val="003E5E63"/>
    <w:rsid w:val="003E7B98"/>
    <w:rsid w:val="003E7CE4"/>
    <w:rsid w:val="003F05B5"/>
    <w:rsid w:val="003F0A4B"/>
    <w:rsid w:val="003F2E2E"/>
    <w:rsid w:val="003F5934"/>
    <w:rsid w:val="003F5C52"/>
    <w:rsid w:val="003F60CE"/>
    <w:rsid w:val="00400640"/>
    <w:rsid w:val="00400FAE"/>
    <w:rsid w:val="004010C8"/>
    <w:rsid w:val="00402FF6"/>
    <w:rsid w:val="0040475D"/>
    <w:rsid w:val="00410466"/>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1F31"/>
    <w:rsid w:val="00432DA9"/>
    <w:rsid w:val="0043399E"/>
    <w:rsid w:val="0043460F"/>
    <w:rsid w:val="0043497B"/>
    <w:rsid w:val="004354E8"/>
    <w:rsid w:val="00437BBD"/>
    <w:rsid w:val="00440BA4"/>
    <w:rsid w:val="00441947"/>
    <w:rsid w:val="0044236B"/>
    <w:rsid w:val="0044418A"/>
    <w:rsid w:val="00444F88"/>
    <w:rsid w:val="00445161"/>
    <w:rsid w:val="004460E7"/>
    <w:rsid w:val="00447D9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80C32"/>
    <w:rsid w:val="00482C00"/>
    <w:rsid w:val="00483092"/>
    <w:rsid w:val="00483FE0"/>
    <w:rsid w:val="004843E1"/>
    <w:rsid w:val="00487590"/>
    <w:rsid w:val="00490625"/>
    <w:rsid w:val="00491F60"/>
    <w:rsid w:val="004968AB"/>
    <w:rsid w:val="00496A27"/>
    <w:rsid w:val="00497EE2"/>
    <w:rsid w:val="004A2A51"/>
    <w:rsid w:val="004A4661"/>
    <w:rsid w:val="004A4984"/>
    <w:rsid w:val="004A67D9"/>
    <w:rsid w:val="004A73EB"/>
    <w:rsid w:val="004A75C7"/>
    <w:rsid w:val="004B0546"/>
    <w:rsid w:val="004B4D2A"/>
    <w:rsid w:val="004B772B"/>
    <w:rsid w:val="004C0C85"/>
    <w:rsid w:val="004C1698"/>
    <w:rsid w:val="004C17FF"/>
    <w:rsid w:val="004C1B0D"/>
    <w:rsid w:val="004C44C5"/>
    <w:rsid w:val="004C46AD"/>
    <w:rsid w:val="004C5DDB"/>
    <w:rsid w:val="004C6949"/>
    <w:rsid w:val="004C69B5"/>
    <w:rsid w:val="004C6B7F"/>
    <w:rsid w:val="004D04B1"/>
    <w:rsid w:val="004D18F0"/>
    <w:rsid w:val="004D36A1"/>
    <w:rsid w:val="004D581B"/>
    <w:rsid w:val="004D5CF7"/>
    <w:rsid w:val="004D7474"/>
    <w:rsid w:val="004E018D"/>
    <w:rsid w:val="004E1A6F"/>
    <w:rsid w:val="004E24E2"/>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1A5A"/>
    <w:rsid w:val="00511E2C"/>
    <w:rsid w:val="00512125"/>
    <w:rsid w:val="00512ED4"/>
    <w:rsid w:val="005138C6"/>
    <w:rsid w:val="00515448"/>
    <w:rsid w:val="00516B68"/>
    <w:rsid w:val="00517BCF"/>
    <w:rsid w:val="00522DC2"/>
    <w:rsid w:val="005238A8"/>
    <w:rsid w:val="00525284"/>
    <w:rsid w:val="0052608A"/>
    <w:rsid w:val="005267A5"/>
    <w:rsid w:val="00527A84"/>
    <w:rsid w:val="00530E26"/>
    <w:rsid w:val="0053432F"/>
    <w:rsid w:val="005358F4"/>
    <w:rsid w:val="00537C1D"/>
    <w:rsid w:val="00540DFC"/>
    <w:rsid w:val="00544310"/>
    <w:rsid w:val="00546A1C"/>
    <w:rsid w:val="00547E13"/>
    <w:rsid w:val="0055140F"/>
    <w:rsid w:val="00551A23"/>
    <w:rsid w:val="005564EF"/>
    <w:rsid w:val="0055675B"/>
    <w:rsid w:val="00556ECE"/>
    <w:rsid w:val="00557FBC"/>
    <w:rsid w:val="00560CCA"/>
    <w:rsid w:val="005621A9"/>
    <w:rsid w:val="00562D6D"/>
    <w:rsid w:val="00563A69"/>
    <w:rsid w:val="00564954"/>
    <w:rsid w:val="005653CE"/>
    <w:rsid w:val="00565FBD"/>
    <w:rsid w:val="00566EA3"/>
    <w:rsid w:val="00567E68"/>
    <w:rsid w:val="00570380"/>
    <w:rsid w:val="00570D08"/>
    <w:rsid w:val="00571CA2"/>
    <w:rsid w:val="005740A3"/>
    <w:rsid w:val="00574D29"/>
    <w:rsid w:val="0058005A"/>
    <w:rsid w:val="00580AC8"/>
    <w:rsid w:val="00583213"/>
    <w:rsid w:val="00583FC6"/>
    <w:rsid w:val="00585773"/>
    <w:rsid w:val="00585ACD"/>
    <w:rsid w:val="005918E9"/>
    <w:rsid w:val="00592088"/>
    <w:rsid w:val="00593D35"/>
    <w:rsid w:val="00594988"/>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6646D"/>
    <w:rsid w:val="00670D10"/>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C2C"/>
    <w:rsid w:val="00686EE1"/>
    <w:rsid w:val="0068728F"/>
    <w:rsid w:val="00690EE4"/>
    <w:rsid w:val="00691E7A"/>
    <w:rsid w:val="00694FB0"/>
    <w:rsid w:val="00697F9F"/>
    <w:rsid w:val="006A601E"/>
    <w:rsid w:val="006A6754"/>
    <w:rsid w:val="006A6F6A"/>
    <w:rsid w:val="006B2F2F"/>
    <w:rsid w:val="006B455C"/>
    <w:rsid w:val="006B6650"/>
    <w:rsid w:val="006B77D1"/>
    <w:rsid w:val="006C0962"/>
    <w:rsid w:val="006C2636"/>
    <w:rsid w:val="006C3085"/>
    <w:rsid w:val="006C43C3"/>
    <w:rsid w:val="006C4405"/>
    <w:rsid w:val="006C4F29"/>
    <w:rsid w:val="006D7F0C"/>
    <w:rsid w:val="006E203B"/>
    <w:rsid w:val="006E38C2"/>
    <w:rsid w:val="006E4D56"/>
    <w:rsid w:val="006E5714"/>
    <w:rsid w:val="006E5FCA"/>
    <w:rsid w:val="006E6EA7"/>
    <w:rsid w:val="006E770D"/>
    <w:rsid w:val="006F0B36"/>
    <w:rsid w:val="006F4770"/>
    <w:rsid w:val="00700030"/>
    <w:rsid w:val="00705091"/>
    <w:rsid w:val="00706F04"/>
    <w:rsid w:val="00711625"/>
    <w:rsid w:val="0071279C"/>
    <w:rsid w:val="0071312C"/>
    <w:rsid w:val="00713C7B"/>
    <w:rsid w:val="00714C42"/>
    <w:rsid w:val="007151DC"/>
    <w:rsid w:val="00715759"/>
    <w:rsid w:val="007169F5"/>
    <w:rsid w:val="00720643"/>
    <w:rsid w:val="007211A0"/>
    <w:rsid w:val="00721934"/>
    <w:rsid w:val="0072396F"/>
    <w:rsid w:val="00723DE9"/>
    <w:rsid w:val="007250F7"/>
    <w:rsid w:val="007271AF"/>
    <w:rsid w:val="007273E6"/>
    <w:rsid w:val="007307EA"/>
    <w:rsid w:val="007311A9"/>
    <w:rsid w:val="007325DC"/>
    <w:rsid w:val="0073287C"/>
    <w:rsid w:val="0073611C"/>
    <w:rsid w:val="00736194"/>
    <w:rsid w:val="00736AEC"/>
    <w:rsid w:val="007403DD"/>
    <w:rsid w:val="00741651"/>
    <w:rsid w:val="00741F25"/>
    <w:rsid w:val="00742389"/>
    <w:rsid w:val="0074280B"/>
    <w:rsid w:val="00744D08"/>
    <w:rsid w:val="00744EE0"/>
    <w:rsid w:val="00747156"/>
    <w:rsid w:val="00747C15"/>
    <w:rsid w:val="00752A20"/>
    <w:rsid w:val="007615B5"/>
    <w:rsid w:val="00761979"/>
    <w:rsid w:val="00762917"/>
    <w:rsid w:val="00763F46"/>
    <w:rsid w:val="00764E0C"/>
    <w:rsid w:val="00764EBB"/>
    <w:rsid w:val="00765EA1"/>
    <w:rsid w:val="0076600A"/>
    <w:rsid w:val="00766C6A"/>
    <w:rsid w:val="00766EF5"/>
    <w:rsid w:val="007717B2"/>
    <w:rsid w:val="00772C6B"/>
    <w:rsid w:val="00772CF4"/>
    <w:rsid w:val="0077337A"/>
    <w:rsid w:val="007737C4"/>
    <w:rsid w:val="007752CC"/>
    <w:rsid w:val="00776766"/>
    <w:rsid w:val="00777073"/>
    <w:rsid w:val="00780F85"/>
    <w:rsid w:val="007826A3"/>
    <w:rsid w:val="00782BD3"/>
    <w:rsid w:val="00783359"/>
    <w:rsid w:val="007846B9"/>
    <w:rsid w:val="0078679F"/>
    <w:rsid w:val="00790EAD"/>
    <w:rsid w:val="007955DC"/>
    <w:rsid w:val="007A0E14"/>
    <w:rsid w:val="007A17AE"/>
    <w:rsid w:val="007A5E50"/>
    <w:rsid w:val="007B104A"/>
    <w:rsid w:val="007B3138"/>
    <w:rsid w:val="007B3740"/>
    <w:rsid w:val="007B4852"/>
    <w:rsid w:val="007B5569"/>
    <w:rsid w:val="007B72E5"/>
    <w:rsid w:val="007B7CB6"/>
    <w:rsid w:val="007B7E11"/>
    <w:rsid w:val="007C0E8C"/>
    <w:rsid w:val="007C1667"/>
    <w:rsid w:val="007C7977"/>
    <w:rsid w:val="007C7C80"/>
    <w:rsid w:val="007D0957"/>
    <w:rsid w:val="007D0D42"/>
    <w:rsid w:val="007D1529"/>
    <w:rsid w:val="007D18B2"/>
    <w:rsid w:val="007D21D3"/>
    <w:rsid w:val="007D26DA"/>
    <w:rsid w:val="007D4A59"/>
    <w:rsid w:val="007D5B99"/>
    <w:rsid w:val="007D5D79"/>
    <w:rsid w:val="007D737D"/>
    <w:rsid w:val="007E3DA5"/>
    <w:rsid w:val="007E535E"/>
    <w:rsid w:val="007E561E"/>
    <w:rsid w:val="007E726B"/>
    <w:rsid w:val="007E7376"/>
    <w:rsid w:val="007E7E23"/>
    <w:rsid w:val="007F2D43"/>
    <w:rsid w:val="007F5D7C"/>
    <w:rsid w:val="007F701D"/>
    <w:rsid w:val="007F7982"/>
    <w:rsid w:val="00800008"/>
    <w:rsid w:val="0080065E"/>
    <w:rsid w:val="00800E69"/>
    <w:rsid w:val="008016C3"/>
    <w:rsid w:val="00801BD2"/>
    <w:rsid w:val="008067A3"/>
    <w:rsid w:val="00807CFB"/>
    <w:rsid w:val="008105A4"/>
    <w:rsid w:val="00810848"/>
    <w:rsid w:val="00812C55"/>
    <w:rsid w:val="00812FA0"/>
    <w:rsid w:val="00813091"/>
    <w:rsid w:val="0081467A"/>
    <w:rsid w:val="00815FD4"/>
    <w:rsid w:val="00822620"/>
    <w:rsid w:val="00822D21"/>
    <w:rsid w:val="00822E01"/>
    <w:rsid w:val="00823B75"/>
    <w:rsid w:val="00823C0F"/>
    <w:rsid w:val="0082443C"/>
    <w:rsid w:val="00824E5C"/>
    <w:rsid w:val="008265FE"/>
    <w:rsid w:val="008274B6"/>
    <w:rsid w:val="008300BA"/>
    <w:rsid w:val="00830707"/>
    <w:rsid w:val="0083174A"/>
    <w:rsid w:val="00834B8A"/>
    <w:rsid w:val="00835F21"/>
    <w:rsid w:val="00836A16"/>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5A7B"/>
    <w:rsid w:val="00890B05"/>
    <w:rsid w:val="00890D0F"/>
    <w:rsid w:val="0089113B"/>
    <w:rsid w:val="00891EAB"/>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987"/>
    <w:rsid w:val="008C5A4A"/>
    <w:rsid w:val="008C6894"/>
    <w:rsid w:val="008D1CEE"/>
    <w:rsid w:val="008D20E8"/>
    <w:rsid w:val="008D4F9D"/>
    <w:rsid w:val="008D56E2"/>
    <w:rsid w:val="008D57D4"/>
    <w:rsid w:val="008D7B70"/>
    <w:rsid w:val="008E0193"/>
    <w:rsid w:val="008E3A83"/>
    <w:rsid w:val="008E3B35"/>
    <w:rsid w:val="008E3CAA"/>
    <w:rsid w:val="008E451A"/>
    <w:rsid w:val="008E4A9F"/>
    <w:rsid w:val="008E5549"/>
    <w:rsid w:val="008E5BE6"/>
    <w:rsid w:val="008E673A"/>
    <w:rsid w:val="008E7B04"/>
    <w:rsid w:val="008F247D"/>
    <w:rsid w:val="008F2879"/>
    <w:rsid w:val="008F2D50"/>
    <w:rsid w:val="008F2FA9"/>
    <w:rsid w:val="008F301C"/>
    <w:rsid w:val="008F3095"/>
    <w:rsid w:val="008F38E0"/>
    <w:rsid w:val="008F3A75"/>
    <w:rsid w:val="008F7735"/>
    <w:rsid w:val="008F7925"/>
    <w:rsid w:val="008F7A32"/>
    <w:rsid w:val="009003CE"/>
    <w:rsid w:val="00904D51"/>
    <w:rsid w:val="00906D77"/>
    <w:rsid w:val="00910628"/>
    <w:rsid w:val="00911CD5"/>
    <w:rsid w:val="00912426"/>
    <w:rsid w:val="009145CE"/>
    <w:rsid w:val="00914B2C"/>
    <w:rsid w:val="00916653"/>
    <w:rsid w:val="00916B7E"/>
    <w:rsid w:val="009176B1"/>
    <w:rsid w:val="00917B63"/>
    <w:rsid w:val="0092001B"/>
    <w:rsid w:val="00920445"/>
    <w:rsid w:val="00921DCB"/>
    <w:rsid w:val="00922BA1"/>
    <w:rsid w:val="00924EE7"/>
    <w:rsid w:val="00924FD5"/>
    <w:rsid w:val="00925A59"/>
    <w:rsid w:val="00927253"/>
    <w:rsid w:val="009301FC"/>
    <w:rsid w:val="00930E73"/>
    <w:rsid w:val="00933FDD"/>
    <w:rsid w:val="00935945"/>
    <w:rsid w:val="0094103E"/>
    <w:rsid w:val="009427E5"/>
    <w:rsid w:val="009442B9"/>
    <w:rsid w:val="009456B7"/>
    <w:rsid w:val="00945961"/>
    <w:rsid w:val="00945D10"/>
    <w:rsid w:val="009475B4"/>
    <w:rsid w:val="00947A2A"/>
    <w:rsid w:val="0095285E"/>
    <w:rsid w:val="00952DFC"/>
    <w:rsid w:val="009530AA"/>
    <w:rsid w:val="00953821"/>
    <w:rsid w:val="0095599A"/>
    <w:rsid w:val="00956989"/>
    <w:rsid w:val="0096000D"/>
    <w:rsid w:val="00963B18"/>
    <w:rsid w:val="00964BB2"/>
    <w:rsid w:val="00965A1D"/>
    <w:rsid w:val="00965E82"/>
    <w:rsid w:val="00972244"/>
    <w:rsid w:val="00972DC9"/>
    <w:rsid w:val="009758BD"/>
    <w:rsid w:val="009760EF"/>
    <w:rsid w:val="00977AA4"/>
    <w:rsid w:val="009808F4"/>
    <w:rsid w:val="00981ACB"/>
    <w:rsid w:val="00983066"/>
    <w:rsid w:val="0098375A"/>
    <w:rsid w:val="00992AA7"/>
    <w:rsid w:val="00993A5C"/>
    <w:rsid w:val="009953B1"/>
    <w:rsid w:val="00995AF2"/>
    <w:rsid w:val="0099604D"/>
    <w:rsid w:val="009961B2"/>
    <w:rsid w:val="009A0334"/>
    <w:rsid w:val="009A078A"/>
    <w:rsid w:val="009A2882"/>
    <w:rsid w:val="009A4F5C"/>
    <w:rsid w:val="009A5551"/>
    <w:rsid w:val="009A5CB6"/>
    <w:rsid w:val="009A5FAB"/>
    <w:rsid w:val="009A7A52"/>
    <w:rsid w:val="009B303D"/>
    <w:rsid w:val="009B3B96"/>
    <w:rsid w:val="009B3E6F"/>
    <w:rsid w:val="009B4985"/>
    <w:rsid w:val="009B702B"/>
    <w:rsid w:val="009B7574"/>
    <w:rsid w:val="009C0342"/>
    <w:rsid w:val="009C042D"/>
    <w:rsid w:val="009C2278"/>
    <w:rsid w:val="009C4014"/>
    <w:rsid w:val="009C711B"/>
    <w:rsid w:val="009C72C0"/>
    <w:rsid w:val="009C7E2F"/>
    <w:rsid w:val="009D0D60"/>
    <w:rsid w:val="009D1A1B"/>
    <w:rsid w:val="009D5855"/>
    <w:rsid w:val="009D5B5A"/>
    <w:rsid w:val="009D5B69"/>
    <w:rsid w:val="009D6109"/>
    <w:rsid w:val="009D6753"/>
    <w:rsid w:val="009D7C3D"/>
    <w:rsid w:val="009E1147"/>
    <w:rsid w:val="009E278E"/>
    <w:rsid w:val="009E34DC"/>
    <w:rsid w:val="009E44FB"/>
    <w:rsid w:val="009F0D88"/>
    <w:rsid w:val="009F1103"/>
    <w:rsid w:val="009F1CB1"/>
    <w:rsid w:val="009F3A48"/>
    <w:rsid w:val="009F5952"/>
    <w:rsid w:val="00A04460"/>
    <w:rsid w:val="00A06099"/>
    <w:rsid w:val="00A06FE5"/>
    <w:rsid w:val="00A07222"/>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299D"/>
    <w:rsid w:val="00A463D8"/>
    <w:rsid w:val="00A47696"/>
    <w:rsid w:val="00A505FC"/>
    <w:rsid w:val="00A547CF"/>
    <w:rsid w:val="00A57973"/>
    <w:rsid w:val="00A61CB9"/>
    <w:rsid w:val="00A63FD6"/>
    <w:rsid w:val="00A6540D"/>
    <w:rsid w:val="00A666B6"/>
    <w:rsid w:val="00A66BD1"/>
    <w:rsid w:val="00A7242F"/>
    <w:rsid w:val="00A7324B"/>
    <w:rsid w:val="00A74A3C"/>
    <w:rsid w:val="00A74C4C"/>
    <w:rsid w:val="00A7597D"/>
    <w:rsid w:val="00A77118"/>
    <w:rsid w:val="00A778BC"/>
    <w:rsid w:val="00A82E67"/>
    <w:rsid w:val="00A83249"/>
    <w:rsid w:val="00A838EF"/>
    <w:rsid w:val="00A840FA"/>
    <w:rsid w:val="00A8675F"/>
    <w:rsid w:val="00A90EEE"/>
    <w:rsid w:val="00AA24A8"/>
    <w:rsid w:val="00AA491D"/>
    <w:rsid w:val="00AB02D8"/>
    <w:rsid w:val="00AB0882"/>
    <w:rsid w:val="00AB30C6"/>
    <w:rsid w:val="00AB3B72"/>
    <w:rsid w:val="00AB43BC"/>
    <w:rsid w:val="00AB7326"/>
    <w:rsid w:val="00AB7BEF"/>
    <w:rsid w:val="00AC0364"/>
    <w:rsid w:val="00AC0555"/>
    <w:rsid w:val="00AC09B5"/>
    <w:rsid w:val="00AC160E"/>
    <w:rsid w:val="00AC22CE"/>
    <w:rsid w:val="00AC23A5"/>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674F"/>
    <w:rsid w:val="00AF738B"/>
    <w:rsid w:val="00AF780A"/>
    <w:rsid w:val="00AF7E0E"/>
    <w:rsid w:val="00B00E9C"/>
    <w:rsid w:val="00B03768"/>
    <w:rsid w:val="00B04553"/>
    <w:rsid w:val="00B050F4"/>
    <w:rsid w:val="00B0737B"/>
    <w:rsid w:val="00B0768B"/>
    <w:rsid w:val="00B0796E"/>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07BC"/>
    <w:rsid w:val="00B42F4D"/>
    <w:rsid w:val="00B441C1"/>
    <w:rsid w:val="00B46687"/>
    <w:rsid w:val="00B47CCB"/>
    <w:rsid w:val="00B50959"/>
    <w:rsid w:val="00B5234B"/>
    <w:rsid w:val="00B611CA"/>
    <w:rsid w:val="00B615BD"/>
    <w:rsid w:val="00B666E4"/>
    <w:rsid w:val="00B70316"/>
    <w:rsid w:val="00B72CFC"/>
    <w:rsid w:val="00B72FBA"/>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AB9"/>
    <w:rsid w:val="00BA4D70"/>
    <w:rsid w:val="00BA5C49"/>
    <w:rsid w:val="00BB2368"/>
    <w:rsid w:val="00BB43D1"/>
    <w:rsid w:val="00BB4DEE"/>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492C"/>
    <w:rsid w:val="00BE7DF8"/>
    <w:rsid w:val="00BF2B32"/>
    <w:rsid w:val="00BF2BDC"/>
    <w:rsid w:val="00BF3127"/>
    <w:rsid w:val="00BF3DAE"/>
    <w:rsid w:val="00BF5124"/>
    <w:rsid w:val="00BF5515"/>
    <w:rsid w:val="00BF5916"/>
    <w:rsid w:val="00BF5AC2"/>
    <w:rsid w:val="00BF7E71"/>
    <w:rsid w:val="00C030E8"/>
    <w:rsid w:val="00C04D41"/>
    <w:rsid w:val="00C04D58"/>
    <w:rsid w:val="00C0552D"/>
    <w:rsid w:val="00C06610"/>
    <w:rsid w:val="00C10CF9"/>
    <w:rsid w:val="00C10E51"/>
    <w:rsid w:val="00C11EE0"/>
    <w:rsid w:val="00C13CA0"/>
    <w:rsid w:val="00C15A7A"/>
    <w:rsid w:val="00C1765B"/>
    <w:rsid w:val="00C2487B"/>
    <w:rsid w:val="00C2530D"/>
    <w:rsid w:val="00C25CDC"/>
    <w:rsid w:val="00C2612C"/>
    <w:rsid w:val="00C31BBE"/>
    <w:rsid w:val="00C32D76"/>
    <w:rsid w:val="00C3554B"/>
    <w:rsid w:val="00C3793E"/>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3BAB"/>
    <w:rsid w:val="00C65463"/>
    <w:rsid w:val="00C6695F"/>
    <w:rsid w:val="00C671C8"/>
    <w:rsid w:val="00C67577"/>
    <w:rsid w:val="00C703BB"/>
    <w:rsid w:val="00C70622"/>
    <w:rsid w:val="00C71CAC"/>
    <w:rsid w:val="00C72015"/>
    <w:rsid w:val="00C73B22"/>
    <w:rsid w:val="00C750D0"/>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963ED"/>
    <w:rsid w:val="00CA01C6"/>
    <w:rsid w:val="00CA064C"/>
    <w:rsid w:val="00CA1817"/>
    <w:rsid w:val="00CA2648"/>
    <w:rsid w:val="00CA6012"/>
    <w:rsid w:val="00CA73B9"/>
    <w:rsid w:val="00CA7605"/>
    <w:rsid w:val="00CB06DF"/>
    <w:rsid w:val="00CB2979"/>
    <w:rsid w:val="00CB2C89"/>
    <w:rsid w:val="00CB3551"/>
    <w:rsid w:val="00CB4265"/>
    <w:rsid w:val="00CC1340"/>
    <w:rsid w:val="00CC5147"/>
    <w:rsid w:val="00CC5483"/>
    <w:rsid w:val="00CC7A35"/>
    <w:rsid w:val="00CD0982"/>
    <w:rsid w:val="00CD1CD7"/>
    <w:rsid w:val="00CD20CB"/>
    <w:rsid w:val="00CD2975"/>
    <w:rsid w:val="00CD3643"/>
    <w:rsid w:val="00CD3762"/>
    <w:rsid w:val="00CD45C2"/>
    <w:rsid w:val="00CD4A6E"/>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0113"/>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168"/>
    <w:rsid w:val="00D57A61"/>
    <w:rsid w:val="00D6119F"/>
    <w:rsid w:val="00D61B32"/>
    <w:rsid w:val="00D62DC7"/>
    <w:rsid w:val="00D66032"/>
    <w:rsid w:val="00D673EF"/>
    <w:rsid w:val="00D70413"/>
    <w:rsid w:val="00D71EFE"/>
    <w:rsid w:val="00D748C2"/>
    <w:rsid w:val="00D75268"/>
    <w:rsid w:val="00D7530D"/>
    <w:rsid w:val="00D7553E"/>
    <w:rsid w:val="00D763C1"/>
    <w:rsid w:val="00D76C50"/>
    <w:rsid w:val="00D777D9"/>
    <w:rsid w:val="00D77A53"/>
    <w:rsid w:val="00D81995"/>
    <w:rsid w:val="00D82881"/>
    <w:rsid w:val="00D82E6D"/>
    <w:rsid w:val="00D85AD3"/>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2FB3"/>
    <w:rsid w:val="00DC43B4"/>
    <w:rsid w:val="00DC53FB"/>
    <w:rsid w:val="00DC6B61"/>
    <w:rsid w:val="00DC70CB"/>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4370"/>
    <w:rsid w:val="00DF569C"/>
    <w:rsid w:val="00DF61F0"/>
    <w:rsid w:val="00DF73DB"/>
    <w:rsid w:val="00DF7667"/>
    <w:rsid w:val="00E015F3"/>
    <w:rsid w:val="00E0759D"/>
    <w:rsid w:val="00E14F08"/>
    <w:rsid w:val="00E15CD2"/>
    <w:rsid w:val="00E15ECB"/>
    <w:rsid w:val="00E1780F"/>
    <w:rsid w:val="00E20992"/>
    <w:rsid w:val="00E228D7"/>
    <w:rsid w:val="00E22B1B"/>
    <w:rsid w:val="00E23C56"/>
    <w:rsid w:val="00E250A6"/>
    <w:rsid w:val="00E2621F"/>
    <w:rsid w:val="00E2671F"/>
    <w:rsid w:val="00E3160D"/>
    <w:rsid w:val="00E322FD"/>
    <w:rsid w:val="00E36457"/>
    <w:rsid w:val="00E369E6"/>
    <w:rsid w:val="00E36C9F"/>
    <w:rsid w:val="00E40A6E"/>
    <w:rsid w:val="00E40CED"/>
    <w:rsid w:val="00E41881"/>
    <w:rsid w:val="00E42576"/>
    <w:rsid w:val="00E44056"/>
    <w:rsid w:val="00E44740"/>
    <w:rsid w:val="00E44E26"/>
    <w:rsid w:val="00E45225"/>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D7E"/>
    <w:rsid w:val="00E63E9E"/>
    <w:rsid w:val="00E648AA"/>
    <w:rsid w:val="00E65387"/>
    <w:rsid w:val="00E678A4"/>
    <w:rsid w:val="00E70B14"/>
    <w:rsid w:val="00E71161"/>
    <w:rsid w:val="00E71253"/>
    <w:rsid w:val="00E71485"/>
    <w:rsid w:val="00E726BB"/>
    <w:rsid w:val="00E73532"/>
    <w:rsid w:val="00E74177"/>
    <w:rsid w:val="00E76457"/>
    <w:rsid w:val="00E77CD6"/>
    <w:rsid w:val="00E814B2"/>
    <w:rsid w:val="00E818E2"/>
    <w:rsid w:val="00E8252E"/>
    <w:rsid w:val="00E853E0"/>
    <w:rsid w:val="00E85856"/>
    <w:rsid w:val="00E91757"/>
    <w:rsid w:val="00E91B1E"/>
    <w:rsid w:val="00E9293C"/>
    <w:rsid w:val="00E949C7"/>
    <w:rsid w:val="00E94BBE"/>
    <w:rsid w:val="00EA0537"/>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04DD"/>
    <w:rsid w:val="00ED181F"/>
    <w:rsid w:val="00ED1831"/>
    <w:rsid w:val="00ED23A0"/>
    <w:rsid w:val="00ED37EB"/>
    <w:rsid w:val="00ED391D"/>
    <w:rsid w:val="00ED50CF"/>
    <w:rsid w:val="00ED5374"/>
    <w:rsid w:val="00ED5994"/>
    <w:rsid w:val="00EE0A9A"/>
    <w:rsid w:val="00EE2551"/>
    <w:rsid w:val="00EE26AD"/>
    <w:rsid w:val="00EE412A"/>
    <w:rsid w:val="00EE6A77"/>
    <w:rsid w:val="00EE75FE"/>
    <w:rsid w:val="00EE7E62"/>
    <w:rsid w:val="00EF68C5"/>
    <w:rsid w:val="00F02293"/>
    <w:rsid w:val="00F0450F"/>
    <w:rsid w:val="00F07361"/>
    <w:rsid w:val="00F07DC1"/>
    <w:rsid w:val="00F12615"/>
    <w:rsid w:val="00F13BFF"/>
    <w:rsid w:val="00F14713"/>
    <w:rsid w:val="00F16F9E"/>
    <w:rsid w:val="00F17B5D"/>
    <w:rsid w:val="00F17B92"/>
    <w:rsid w:val="00F21E78"/>
    <w:rsid w:val="00F22AFA"/>
    <w:rsid w:val="00F241CD"/>
    <w:rsid w:val="00F27AC8"/>
    <w:rsid w:val="00F3152E"/>
    <w:rsid w:val="00F32AE4"/>
    <w:rsid w:val="00F3346F"/>
    <w:rsid w:val="00F34E4E"/>
    <w:rsid w:val="00F36C30"/>
    <w:rsid w:val="00F421AC"/>
    <w:rsid w:val="00F45733"/>
    <w:rsid w:val="00F45E9D"/>
    <w:rsid w:val="00F47DD1"/>
    <w:rsid w:val="00F51AE7"/>
    <w:rsid w:val="00F52BC4"/>
    <w:rsid w:val="00F54992"/>
    <w:rsid w:val="00F5549C"/>
    <w:rsid w:val="00F55D31"/>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61B0"/>
    <w:rsid w:val="00FA6D88"/>
    <w:rsid w:val="00FA7639"/>
    <w:rsid w:val="00FB478D"/>
    <w:rsid w:val="00FB564E"/>
    <w:rsid w:val="00FB7004"/>
    <w:rsid w:val="00FB7C50"/>
    <w:rsid w:val="00FB7E88"/>
    <w:rsid w:val="00FC0C89"/>
    <w:rsid w:val="00FC3F44"/>
    <w:rsid w:val="00FC48D2"/>
    <w:rsid w:val="00FC51D7"/>
    <w:rsid w:val="00FC6696"/>
    <w:rsid w:val="00FD08E9"/>
    <w:rsid w:val="00FD2A15"/>
    <w:rsid w:val="00FD4016"/>
    <w:rsid w:val="00FD4096"/>
    <w:rsid w:val="00FD5D67"/>
    <w:rsid w:val="00FD6530"/>
    <w:rsid w:val="00FD6736"/>
    <w:rsid w:val="00FD67B7"/>
    <w:rsid w:val="00FD6DC3"/>
    <w:rsid w:val="00FD7D8C"/>
    <w:rsid w:val="00FE0C0B"/>
    <w:rsid w:val="00FE379A"/>
    <w:rsid w:val="00FE601F"/>
    <w:rsid w:val="00FE606D"/>
    <w:rsid w:val="00FE6BA0"/>
    <w:rsid w:val="00FF07B6"/>
    <w:rsid w:val="00FF08A3"/>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6E"/>
    <w:rPr>
      <w:rFonts w:ascii="Arial" w:hAnsi="Arial" w:cs="Times New Roman"/>
    </w:rPr>
  </w:style>
  <w:style w:type="paragraph" w:styleId="Heading10">
    <w:name w:val="heading 1"/>
    <w:aliases w:val="TSB Headings"/>
    <w:basedOn w:val="ListParagraph"/>
    <w:next w:val="Normal"/>
    <w:link w:val="Heading1Char"/>
    <w:autoRedefine/>
    <w:uiPriority w:val="9"/>
    <w:qFormat/>
    <w:rsid w:val="003E5E63"/>
    <w:pPr>
      <w:numPr>
        <w:numId w:val="26"/>
      </w:numPr>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3E5E63"/>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8E3A83"/>
    <w:pPr>
      <w:numPr>
        <w:ilvl w:val="1"/>
      </w:numPr>
      <w:ind w:left="1480" w:hanging="482"/>
      <w:contextualSpacing w:val="0"/>
      <w:jc w:val="both"/>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313D6E"/>
    <w:rPr>
      <w:color w:val="7030A0"/>
      <w:u w:val="single"/>
    </w:rPr>
  </w:style>
  <w:style w:type="paragraph" w:customStyle="1" w:styleId="TSB-PolicyBullets">
    <w:name w:val="TSB - Policy Bullets"/>
    <w:basedOn w:val="ListParagraph"/>
    <w:link w:val="TSB-PolicyBulletsChar"/>
    <w:autoRedefine/>
    <w:qFormat/>
    <w:rsid w:val="00F3152E"/>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A74A3C"/>
    <w:pPr>
      <w:ind w:left="1418" w:hanging="574"/>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3152E"/>
  </w:style>
  <w:style w:type="character" w:customStyle="1" w:styleId="TSB-Level1NumbersChar">
    <w:name w:val="TSB - Level 1 Numbers Char"/>
    <w:basedOn w:val="Heading1Char"/>
    <w:link w:val="TSB-Level1Numbers"/>
    <w:rsid w:val="008E3A83"/>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A74A3C"/>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table" w:customStyle="1" w:styleId="TableGrid2">
    <w:name w:val="Table Grid2"/>
    <w:basedOn w:val="TableNormal"/>
    <w:next w:val="TableGrid"/>
    <w:uiPriority w:val="59"/>
    <w:rsid w:val="000E4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5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27054696">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BDBE1-A9BE-4AB5-AC64-CBBCA961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21042015.dotx</Template>
  <TotalTime>0</TotalTime>
  <Pages>1</Pages>
  <Words>5113</Words>
  <Characters>29198</Characters>
  <Application>Microsoft Office Word</Application>
  <DocSecurity>0</DocSecurity>
  <Lines>768</Lines>
  <Paragraphs>647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Helen Green</cp:lastModifiedBy>
  <cp:revision>2</cp:revision>
  <cp:lastPrinted>2020-02-25T14:12:00Z</cp:lastPrinted>
  <dcterms:created xsi:type="dcterms:W3CDTF">2024-12-10T15:12:00Z</dcterms:created>
  <dcterms:modified xsi:type="dcterms:W3CDTF">2024-12-10T15:12:00Z</dcterms:modified>
</cp:coreProperties>
</file>