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164CC2E" w:rsidR="00E66558" w:rsidRDefault="009D71E8" w:rsidP="0072129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r w:rsidR="0004127E">
        <w:rPr>
          <w:i/>
          <w:iCs/>
        </w:rPr>
        <w:t>Broughton Jewish Cassel Fox Primary School</w:t>
      </w:r>
      <w:r w:rsidR="0066364C">
        <w:t>]</w:t>
      </w:r>
    </w:p>
    <w:p w14:paraId="2A7D54B2" w14:textId="1461B23A" w:rsidR="00E66558" w:rsidRDefault="009D71E8" w:rsidP="00C225DB">
      <w:pPr>
        <w:rPr>
          <w:b/>
        </w:rPr>
      </w:pPr>
      <w:r>
        <w:t>This statement details our school’s use of pupil premium</w:t>
      </w:r>
      <w:r w:rsidRPr="00382004">
        <w:t xml:space="preserve"> </w:t>
      </w:r>
      <w:r>
        <w:t xml:space="preserve">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14F1E">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5" w14:textId="77777777" w:rsidR="00E66558" w:rsidRDefault="009D71E8" w:rsidP="00875A4F">
            <w:pPr>
              <w:pStyle w:val="TableHeader"/>
              <w:ind w:left="0" w:right="0"/>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6" w14:textId="77777777" w:rsidR="00E66558" w:rsidRDefault="009D71E8" w:rsidP="00875A4F">
            <w:pPr>
              <w:pStyle w:val="TableHeader"/>
              <w:ind w:left="0" w:right="0"/>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E27862" w:rsidRDefault="009D71E8" w:rsidP="00875A4F">
            <w:pPr>
              <w:pStyle w:val="TableRow"/>
              <w:ind w:left="0" w:right="0"/>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8DF10E6" w:rsidR="00E66558" w:rsidRPr="00E27862" w:rsidRDefault="001A2FC9" w:rsidP="00875A4F">
            <w:pPr>
              <w:pStyle w:val="TableRow"/>
              <w:ind w:left="0" w:right="0"/>
              <w:rPr>
                <w:color w:val="auto"/>
              </w:rPr>
            </w:pPr>
            <w:r>
              <w:rPr>
                <w:color w:val="auto"/>
              </w:rPr>
              <w:t>18</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E27862" w:rsidRDefault="009D71E8" w:rsidP="00875A4F">
            <w:pPr>
              <w:pStyle w:val="TableRow"/>
              <w:ind w:left="0" w:right="0"/>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27D6824B" w:rsidR="00E66558" w:rsidRPr="00E27862" w:rsidRDefault="009D5506" w:rsidP="00875A4F">
            <w:pPr>
              <w:pStyle w:val="TableRow"/>
              <w:ind w:left="0" w:right="0"/>
              <w:rPr>
                <w:color w:val="auto"/>
              </w:rPr>
            </w:pPr>
            <w:r>
              <w:rPr>
                <w:color w:val="auto"/>
              </w:rPr>
              <w:t>5.7</w:t>
            </w:r>
            <w:r w:rsidR="001A2FC9">
              <w:rPr>
                <w:color w:val="auto"/>
              </w:rPr>
              <w:t>%</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3562EB74" w:rsidR="00E66558" w:rsidRPr="00E27862" w:rsidRDefault="009D71E8" w:rsidP="00875A4F">
            <w:pPr>
              <w:pStyle w:val="TableRow"/>
              <w:ind w:left="0" w:right="0"/>
              <w:rPr>
                <w:color w:val="auto"/>
                <w:szCs w:val="22"/>
              </w:rPr>
            </w:pPr>
            <w:r w:rsidRPr="00E27862">
              <w:rPr>
                <w:color w:val="auto"/>
                <w:szCs w:val="22"/>
              </w:rPr>
              <w:t xml:space="preserve">Academic year/years that our current pupil premium strategy plan covers </w:t>
            </w:r>
            <w:r w:rsidRPr="00E27862">
              <w:rPr>
                <w:b/>
                <w:bCs/>
                <w:color w:val="auto"/>
                <w:szCs w:val="22"/>
              </w:rPr>
              <w:t>(</w:t>
            </w:r>
            <w:r w:rsidR="00544383" w:rsidRPr="00E27862">
              <w:rPr>
                <w:b/>
                <w:bCs/>
                <w:color w:val="auto"/>
                <w:szCs w:val="22"/>
              </w:rPr>
              <w:t>3-year</w:t>
            </w:r>
            <w:r w:rsidRPr="00E27862">
              <w:rPr>
                <w:b/>
                <w:bCs/>
                <w:color w:val="auto"/>
                <w:szCs w:val="22"/>
              </w:rPr>
              <w:t xml:space="preserve"> plans are recommended</w:t>
            </w:r>
            <w:r w:rsidR="00E433E1">
              <w:rPr>
                <w:b/>
                <w:bCs/>
                <w:color w:val="auto"/>
                <w:szCs w:val="22"/>
              </w:rPr>
              <w:t xml:space="preserve"> – you must still publish an updated statement for each academic year</w:t>
            </w:r>
            <w:r w:rsidRPr="00E27862">
              <w:rPr>
                <w:b/>
                <w:bCs/>
                <w:color w:val="auto"/>
                <w:szCs w:val="22"/>
              </w:rPr>
              <w:t>)</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220D5" w14:textId="5596FB8E" w:rsidR="00666C7D" w:rsidRDefault="00666C7D" w:rsidP="00666C7D">
            <w:pPr>
              <w:pStyle w:val="TableRow"/>
              <w:ind w:left="0" w:right="0"/>
              <w:rPr>
                <w:color w:val="auto"/>
              </w:rPr>
            </w:pPr>
          </w:p>
          <w:p w14:paraId="2A7D54C2" w14:textId="3E9DA5D6" w:rsidR="00E66558" w:rsidRPr="00764DDF" w:rsidRDefault="00000D44" w:rsidP="00666C7D">
            <w:pPr>
              <w:pStyle w:val="TableRow"/>
              <w:ind w:left="0" w:right="0"/>
              <w:rPr>
                <w:color w:val="auto"/>
              </w:rPr>
            </w:pPr>
            <w:r w:rsidRPr="00764DDF">
              <w:rPr>
                <w:color w:val="auto"/>
              </w:rPr>
              <w:t>202</w:t>
            </w:r>
            <w:r>
              <w:rPr>
                <w:color w:val="auto"/>
              </w:rPr>
              <w:t>5</w:t>
            </w:r>
            <w:r w:rsidRPr="00764DDF">
              <w:rPr>
                <w:color w:val="auto"/>
              </w:rPr>
              <w:t>/202</w:t>
            </w:r>
            <w:r>
              <w:rPr>
                <w:color w:val="auto"/>
              </w:rPr>
              <w:t>6</w:t>
            </w:r>
            <w:r w:rsidRPr="00764DDF">
              <w:rPr>
                <w:color w:val="auto"/>
              </w:rPr>
              <w:t xml:space="preserve"> to 202</w:t>
            </w:r>
            <w:r>
              <w:rPr>
                <w:color w:val="auto"/>
              </w:rPr>
              <w:t>7</w:t>
            </w:r>
            <w:r w:rsidRPr="00764DDF">
              <w:rPr>
                <w:color w:val="auto"/>
              </w:rPr>
              <w:t>/202</w:t>
            </w:r>
            <w:r>
              <w:rPr>
                <w:color w:val="auto"/>
              </w:rPr>
              <w:t>8</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E27862" w:rsidRDefault="009D71E8" w:rsidP="00875A4F">
            <w:pPr>
              <w:pStyle w:val="TableRow"/>
              <w:ind w:left="0" w:right="0"/>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1C3D49D5" w:rsidR="00E66558" w:rsidRPr="00764DDF" w:rsidRDefault="00772D78" w:rsidP="00875A4F">
            <w:pPr>
              <w:pStyle w:val="TableRow"/>
              <w:ind w:left="0" w:right="0"/>
              <w:rPr>
                <w:color w:val="auto"/>
              </w:rPr>
            </w:pPr>
            <w:r w:rsidRPr="00764DDF">
              <w:rPr>
                <w:color w:val="auto"/>
              </w:rPr>
              <w:t>Dece</w:t>
            </w:r>
            <w:r w:rsidR="00755D22" w:rsidRPr="00764DDF">
              <w:rPr>
                <w:color w:val="auto"/>
              </w:rPr>
              <w:t xml:space="preserve">mber </w:t>
            </w:r>
            <w:r w:rsidR="00BE62A8">
              <w:rPr>
                <w:color w:val="auto"/>
              </w:rPr>
              <w:t>2025</w:t>
            </w:r>
            <w:r w:rsidR="000B5179" w:rsidRPr="00764DDF">
              <w:rPr>
                <w:color w:val="auto"/>
              </w:rPr>
              <w:t xml:space="preserve"> </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E27862" w:rsidRDefault="009D71E8" w:rsidP="00875A4F">
            <w:pPr>
              <w:pStyle w:val="TableRow"/>
              <w:ind w:left="0" w:right="0"/>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28B9FD6B" w:rsidR="00E66558" w:rsidRPr="000A6B48" w:rsidRDefault="0004127E" w:rsidP="00875A4F">
            <w:pPr>
              <w:pStyle w:val="TableRow"/>
              <w:ind w:left="0" w:right="0"/>
              <w:rPr>
                <w:color w:val="auto"/>
              </w:rPr>
            </w:pPr>
            <w:r>
              <w:rPr>
                <w:color w:val="auto"/>
              </w:rPr>
              <w:t>October</w:t>
            </w:r>
            <w:r w:rsidR="0042658F" w:rsidRPr="00764DDF">
              <w:rPr>
                <w:color w:val="auto"/>
              </w:rPr>
              <w:t xml:space="preserve"> </w:t>
            </w:r>
            <w:r w:rsidR="00B84BAC">
              <w:rPr>
                <w:color w:val="auto"/>
              </w:rPr>
              <w:t>2026</w:t>
            </w:r>
            <w:r w:rsidR="000B5179" w:rsidRPr="000A6B48">
              <w:rPr>
                <w:color w:val="auto"/>
              </w:rPr>
              <w:t xml:space="preserve"> </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E27862" w:rsidRDefault="009D71E8" w:rsidP="00875A4F">
            <w:pPr>
              <w:pStyle w:val="TableRow"/>
              <w:ind w:left="0" w:right="0"/>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138355FF" w:rsidR="00E66558" w:rsidRPr="00E27862" w:rsidRDefault="0004127E" w:rsidP="00875A4F">
            <w:pPr>
              <w:pStyle w:val="TableRow"/>
              <w:ind w:left="0" w:right="0"/>
              <w:rPr>
                <w:color w:val="auto"/>
              </w:rPr>
            </w:pPr>
            <w:r>
              <w:rPr>
                <w:i/>
                <w:iCs/>
                <w:color w:val="auto"/>
              </w:rPr>
              <w:t>Rabbi Yehuda Pearlman</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E27862" w:rsidRDefault="009D71E8" w:rsidP="00875A4F">
            <w:pPr>
              <w:pStyle w:val="TableRow"/>
              <w:ind w:left="0" w:right="0"/>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6EB4AB14" w:rsidR="00E66558" w:rsidRPr="00E27862" w:rsidRDefault="0004127E" w:rsidP="00875A4F">
            <w:pPr>
              <w:pStyle w:val="TableRow"/>
              <w:ind w:left="0" w:right="0"/>
              <w:rPr>
                <w:color w:val="auto"/>
              </w:rPr>
            </w:pPr>
            <w:r>
              <w:rPr>
                <w:i/>
                <w:iCs/>
                <w:color w:val="auto"/>
                <w:szCs w:val="28"/>
              </w:rPr>
              <w:t>Nicola Taylor</w:t>
            </w:r>
            <w:r w:rsidR="00005185" w:rsidRPr="00E27862">
              <w:rPr>
                <w:color w:val="auto"/>
                <w:szCs w:val="28"/>
              </w:rPr>
              <w:t>,</w:t>
            </w:r>
            <w:r w:rsidR="00131471">
              <w:rPr>
                <w:color w:val="auto"/>
                <w:szCs w:val="28"/>
              </w:rPr>
              <w:t xml:space="preserve"> </w:t>
            </w:r>
            <w:r w:rsidR="00ED441D">
              <w:rPr>
                <w:color w:val="auto"/>
                <w:szCs w:val="28"/>
              </w:rPr>
              <w:t>D</w:t>
            </w:r>
            <w:r w:rsidR="00131471">
              <w:rPr>
                <w:color w:val="auto"/>
                <w:szCs w:val="28"/>
              </w:rPr>
              <w:t>eputy headteac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E27862" w:rsidRDefault="009D71E8" w:rsidP="00875A4F">
            <w:pPr>
              <w:pStyle w:val="TableRow"/>
              <w:ind w:left="0" w:right="0"/>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0F86DA40" w:rsidR="00E66558" w:rsidRPr="00E27862" w:rsidRDefault="0004127E" w:rsidP="00875A4F">
            <w:pPr>
              <w:pStyle w:val="TableRow"/>
              <w:ind w:left="0" w:right="0"/>
              <w:rPr>
                <w:color w:val="auto"/>
                <w:szCs w:val="28"/>
              </w:rPr>
            </w:pPr>
            <w:r>
              <w:rPr>
                <w:i/>
                <w:iCs/>
                <w:color w:val="auto"/>
                <w:szCs w:val="28"/>
              </w:rPr>
              <w:t>David Bondt</w:t>
            </w:r>
            <w:r w:rsidR="00C150B7">
              <w:rPr>
                <w:color w:val="auto"/>
                <w:szCs w:val="28"/>
              </w:rPr>
              <w:t xml:space="preserve">, </w:t>
            </w:r>
            <w:r w:rsidR="001A6B3D" w:rsidRPr="00E27862">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rsidTr="00614F1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E27862" w:rsidRDefault="009D71E8" w:rsidP="00875A4F">
            <w:pPr>
              <w:pStyle w:val="TableRow"/>
              <w:ind w:left="0" w:right="0"/>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E27862" w:rsidRDefault="009D71E8" w:rsidP="00875A4F">
            <w:pPr>
              <w:pStyle w:val="TableRow"/>
              <w:ind w:left="0" w:right="0"/>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0633CF" w:rsidRDefault="009D71E8" w:rsidP="00875A4F">
            <w:pPr>
              <w:pStyle w:val="TableRow"/>
              <w:ind w:left="0" w:right="0"/>
              <w:rPr>
                <w:color w:val="auto"/>
              </w:rPr>
            </w:pPr>
            <w:r w:rsidRPr="000633CF">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734D9FE2" w:rsidR="00E66558" w:rsidRPr="00A07793" w:rsidRDefault="008718D4" w:rsidP="00875A4F">
            <w:pPr>
              <w:pStyle w:val="TableRow"/>
              <w:ind w:left="0" w:right="0"/>
              <w:rPr>
                <w:color w:val="auto"/>
              </w:rPr>
            </w:pPr>
            <w:r>
              <w:rPr>
                <w:color w:val="auto"/>
              </w:rPr>
              <w:t>£</w:t>
            </w:r>
            <w:r w:rsidR="001A2FC9">
              <w:rPr>
                <w:color w:val="auto"/>
              </w:rPr>
              <w:t>28,784</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BCF71A8" w:rsidR="00E66558" w:rsidRPr="00E27862" w:rsidRDefault="009D71E8" w:rsidP="00875A4F">
            <w:pPr>
              <w:pStyle w:val="TableRow"/>
              <w:ind w:left="0" w:right="0"/>
              <w:rPr>
                <w:color w:val="auto"/>
              </w:rPr>
            </w:pPr>
            <w:r w:rsidRPr="00E27862">
              <w:rPr>
                <w:color w:val="auto"/>
              </w:rPr>
              <w:t>Pupil premium</w:t>
            </w:r>
            <w:r w:rsidR="00DD73EF">
              <w:rPr>
                <w:color w:val="auto"/>
              </w:rPr>
              <w:t xml:space="preserve">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4011CF7D" w:rsidR="00E66558" w:rsidRPr="00E27862" w:rsidRDefault="009D71E8" w:rsidP="00875A4F">
            <w:pPr>
              <w:pStyle w:val="TableRow"/>
              <w:ind w:left="0" w:right="0"/>
              <w:rPr>
                <w:color w:val="auto"/>
              </w:rPr>
            </w:pPr>
            <w:r w:rsidRPr="00E27862">
              <w:rPr>
                <w:color w:val="auto"/>
              </w:rPr>
              <w:t>£</w:t>
            </w:r>
            <w:r w:rsidR="001A2FC9">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E27862" w:rsidRDefault="009D71E8" w:rsidP="00875A4F">
            <w:pPr>
              <w:pStyle w:val="TableRow"/>
              <w:ind w:left="0" w:right="0"/>
              <w:rPr>
                <w:b/>
                <w:color w:val="auto"/>
              </w:rPr>
            </w:pPr>
            <w:r w:rsidRPr="00E27862">
              <w:rPr>
                <w:b/>
                <w:color w:val="auto"/>
              </w:rPr>
              <w:t>Total budget for this academic year</w:t>
            </w:r>
          </w:p>
          <w:p w14:paraId="2A7D54E1" w14:textId="6A01B29B" w:rsidR="00E66558" w:rsidRPr="00E27862" w:rsidRDefault="00E66558" w:rsidP="00875A4F">
            <w:pPr>
              <w:pStyle w:val="TableRow"/>
              <w:ind w:left="0" w:right="0"/>
              <w:rPr>
                <w:color w:val="auto"/>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381629FC" w:rsidR="00E66558" w:rsidRPr="00250C59" w:rsidRDefault="009D71E8" w:rsidP="00875A4F">
            <w:pPr>
              <w:pStyle w:val="TableRow"/>
              <w:ind w:left="0" w:right="0"/>
              <w:rPr>
                <w:color w:val="auto"/>
              </w:rPr>
            </w:pPr>
            <w:r w:rsidRPr="00250C59">
              <w:rPr>
                <w:color w:val="auto"/>
              </w:rPr>
              <w:t>£</w:t>
            </w:r>
            <w:r w:rsidR="001A2FC9">
              <w:rPr>
                <w:color w:val="auto"/>
              </w:rPr>
              <w:t>28,784</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5529437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6BC3" w14:textId="77777777" w:rsidR="0004127E" w:rsidRPr="00EC713B" w:rsidRDefault="0004127E" w:rsidP="0072129C">
            <w:pPr>
              <w:spacing w:before="120"/>
              <w:rPr>
                <w:sz w:val="22"/>
                <w:szCs w:val="22"/>
              </w:rPr>
            </w:pPr>
            <w:r w:rsidRPr="00EC713B">
              <w:rPr>
                <w:sz w:val="22"/>
                <w:szCs w:val="22"/>
              </w:rPr>
              <w:t xml:space="preserve">As an Orthodox Jewish school our intention is to promote both Jewish and British Values with a foundation in mutual respect and tolerance. We treat all pupils equitably, irrespective of their background or the challenges they face to promote good progress and endeavour to achieve high attainment across all subject areas. </w:t>
            </w:r>
          </w:p>
          <w:p w14:paraId="037CF9A5" w14:textId="275F88A0" w:rsidR="0004127E" w:rsidRPr="00EC713B" w:rsidRDefault="0004127E" w:rsidP="0072129C">
            <w:pPr>
              <w:spacing w:before="120"/>
              <w:rPr>
                <w:rFonts w:cs="Arial"/>
                <w:iCs/>
                <w:color w:val="auto"/>
                <w:sz w:val="22"/>
                <w:szCs w:val="22"/>
                <w:lang w:val="en-US"/>
              </w:rPr>
            </w:pPr>
            <w:r w:rsidRPr="00EC713B">
              <w:rPr>
                <w:rFonts w:cs="Arial"/>
                <w:iCs/>
                <w:color w:val="auto"/>
                <w:sz w:val="22"/>
                <w:szCs w:val="22"/>
                <w:lang w:val="en-US"/>
              </w:rPr>
              <w:t>We will consider the challenges faced by vulnerable pupils, such as those who have a social worker and</w:t>
            </w:r>
            <w:r w:rsidR="00AF24C1" w:rsidRPr="00EC713B">
              <w:rPr>
                <w:rFonts w:cs="Arial"/>
                <w:iCs/>
                <w:color w:val="auto"/>
                <w:sz w:val="22"/>
                <w:szCs w:val="22"/>
                <w:lang w:val="en-US"/>
              </w:rPr>
              <w:t>,</w:t>
            </w:r>
            <w:r w:rsidRPr="00EC713B">
              <w:rPr>
                <w:rFonts w:cs="Arial"/>
                <w:iCs/>
                <w:color w:val="auto"/>
                <w:sz w:val="22"/>
                <w:szCs w:val="22"/>
                <w:lang w:val="en-US"/>
              </w:rPr>
              <w:t xml:space="preserve"> in our case</w:t>
            </w:r>
            <w:r w:rsidR="00AF24C1" w:rsidRPr="00EC713B">
              <w:rPr>
                <w:rFonts w:cs="Arial"/>
                <w:iCs/>
                <w:color w:val="auto"/>
                <w:sz w:val="22"/>
                <w:szCs w:val="22"/>
                <w:lang w:val="en-US"/>
              </w:rPr>
              <w:t>,</w:t>
            </w:r>
            <w:r w:rsidRPr="00EC713B">
              <w:rPr>
                <w:rFonts w:cs="Arial"/>
                <w:iCs/>
                <w:color w:val="auto"/>
                <w:sz w:val="22"/>
                <w:szCs w:val="22"/>
                <w:lang w:val="en-US"/>
              </w:rPr>
              <w:t xml:space="preserve"> those with </w:t>
            </w:r>
            <w:r w:rsidR="00AF24C1" w:rsidRPr="00EC713B">
              <w:rPr>
                <w:rFonts w:cs="Arial"/>
                <w:iCs/>
                <w:color w:val="auto"/>
                <w:sz w:val="22"/>
                <w:szCs w:val="22"/>
                <w:lang w:val="en-US"/>
              </w:rPr>
              <w:t>low-income households but larger than average family sizes</w:t>
            </w:r>
            <w:r w:rsidRPr="00EC713B">
              <w:rPr>
                <w:rFonts w:cs="Arial"/>
                <w:iCs/>
                <w:color w:val="auto"/>
                <w:sz w:val="22"/>
                <w:szCs w:val="22"/>
                <w:lang w:val="en-US"/>
              </w:rPr>
              <w:t xml:space="preserve">. The </w:t>
            </w:r>
            <w:r w:rsidR="00AF24C1" w:rsidRPr="00EC713B">
              <w:rPr>
                <w:rFonts w:cs="Arial"/>
                <w:iCs/>
                <w:color w:val="auto"/>
                <w:sz w:val="22"/>
                <w:szCs w:val="22"/>
                <w:lang w:val="en-US"/>
              </w:rPr>
              <w:t>focus</w:t>
            </w:r>
            <w:r w:rsidRPr="00EC713B">
              <w:rPr>
                <w:rFonts w:cs="Arial"/>
                <w:iCs/>
                <w:color w:val="auto"/>
                <w:sz w:val="22"/>
                <w:szCs w:val="22"/>
                <w:lang w:val="en-US"/>
              </w:rPr>
              <w:t xml:space="preserve"> we have outlined in this statement is also intended to support their needs, regardless of whether they are disadvantaged or not.</w:t>
            </w:r>
            <w:r w:rsidR="00AF24C1" w:rsidRPr="00EC713B">
              <w:rPr>
                <w:rFonts w:cs="Arial"/>
                <w:iCs/>
                <w:color w:val="auto"/>
                <w:sz w:val="22"/>
                <w:szCs w:val="22"/>
                <w:lang w:val="en-US"/>
              </w:rPr>
              <w:t xml:space="preserve"> We aim for all children, despite disadvantages, to progress appropriately for their age and stage with high expectations of all pupils. </w:t>
            </w:r>
          </w:p>
          <w:p w14:paraId="781A2CE8" w14:textId="7A65504C" w:rsidR="00CA4F2C" w:rsidRPr="00EC713B" w:rsidRDefault="00CA4F2C" w:rsidP="00CA4F2C">
            <w:pPr>
              <w:rPr>
                <w:iCs/>
                <w:color w:val="auto"/>
                <w:sz w:val="22"/>
                <w:szCs w:val="22"/>
                <w:lang w:val="en-US"/>
              </w:rPr>
            </w:pPr>
            <w:r w:rsidRPr="00EC713B">
              <w:rPr>
                <w:rFonts w:cs="Arial"/>
                <w:iCs/>
                <w:color w:val="auto"/>
                <w:sz w:val="22"/>
                <w:szCs w:val="22"/>
                <w:lang w:val="en-US"/>
              </w:rPr>
              <w:t xml:space="preserve">High-quality teaching is at the heart of our approach, with a focus on areas in which disadvantaged pupils require the most support. </w:t>
            </w:r>
            <w:r w:rsidRPr="00EC713B">
              <w:rPr>
                <w:iCs/>
                <w:color w:val="auto"/>
                <w:sz w:val="22"/>
                <w:szCs w:val="22"/>
                <w:lang w:val="en-US"/>
              </w:rPr>
              <w:t>Implicit in the intended outcomes detailed below, is the intention that non-disadvantaged pupils’ attainment will be sustained and improved alongside progress for their disadvantaged peers.</w:t>
            </w:r>
          </w:p>
          <w:p w14:paraId="0A8D40EF" w14:textId="77777777" w:rsidR="00EC713B" w:rsidRPr="00EC713B" w:rsidRDefault="0004127E" w:rsidP="0072129C">
            <w:pPr>
              <w:spacing w:before="120"/>
              <w:rPr>
                <w:sz w:val="22"/>
                <w:szCs w:val="22"/>
              </w:rPr>
            </w:pPr>
            <w:r w:rsidRPr="00EC713B">
              <w:rPr>
                <w:sz w:val="22"/>
                <w:szCs w:val="22"/>
              </w:rPr>
              <w:t>We endeavour to close the gap</w:t>
            </w:r>
            <w:r w:rsidR="00EC713B" w:rsidRPr="00EC713B">
              <w:rPr>
                <w:sz w:val="22"/>
                <w:szCs w:val="22"/>
              </w:rPr>
              <w:t>, whilst improving attainment,</w:t>
            </w:r>
            <w:r w:rsidRPr="00EC713B">
              <w:rPr>
                <w:sz w:val="22"/>
                <w:szCs w:val="22"/>
              </w:rPr>
              <w:t xml:space="preserve"> and ensure that all </w:t>
            </w:r>
            <w:r w:rsidR="00AF24C1" w:rsidRPr="00EC713B">
              <w:rPr>
                <w:sz w:val="22"/>
                <w:szCs w:val="22"/>
              </w:rPr>
              <w:t>vulnerable</w:t>
            </w:r>
            <w:r w:rsidRPr="00EC713B">
              <w:rPr>
                <w:sz w:val="22"/>
                <w:szCs w:val="22"/>
              </w:rPr>
              <w:t xml:space="preserve"> children inclu</w:t>
            </w:r>
            <w:r w:rsidR="00AF24C1" w:rsidRPr="00EC713B">
              <w:rPr>
                <w:sz w:val="22"/>
                <w:szCs w:val="22"/>
              </w:rPr>
              <w:t>sive of</w:t>
            </w:r>
            <w:r w:rsidRPr="00EC713B">
              <w:rPr>
                <w:sz w:val="22"/>
                <w:szCs w:val="22"/>
              </w:rPr>
              <w:t xml:space="preserve"> pupil premium are monitored throughout school for interventions. We carefully consider the challenges faced by our vulnerable pupils, those with social worker involvement </w:t>
            </w:r>
            <w:r w:rsidR="00EC713B" w:rsidRPr="00EC713B">
              <w:rPr>
                <w:sz w:val="22"/>
                <w:szCs w:val="22"/>
              </w:rPr>
              <w:t>or otherwise</w:t>
            </w:r>
            <w:r w:rsidRPr="00EC713B">
              <w:rPr>
                <w:sz w:val="22"/>
                <w:szCs w:val="22"/>
              </w:rPr>
              <w:t xml:space="preserve"> as well as those children who may be vulnerable due to economic deprivation. (As a school with larger than average family size we also consider the economic backgrounds of these where they may not qualify for PP – this covers families where the parent’s wages will struggle to meet the needs for all their children). </w:t>
            </w:r>
          </w:p>
          <w:p w14:paraId="2A5D194E" w14:textId="77777777" w:rsidR="00EC713B" w:rsidRPr="00EC713B" w:rsidRDefault="00EC713B" w:rsidP="0072129C">
            <w:pPr>
              <w:spacing w:before="120"/>
              <w:rPr>
                <w:sz w:val="22"/>
                <w:szCs w:val="22"/>
              </w:rPr>
            </w:pPr>
            <w:r w:rsidRPr="00EC713B">
              <w:rPr>
                <w:sz w:val="22"/>
                <w:szCs w:val="22"/>
              </w:rPr>
              <w:t>W</w:t>
            </w:r>
            <w:r w:rsidR="0004127E" w:rsidRPr="00EC713B">
              <w:rPr>
                <w:sz w:val="22"/>
                <w:szCs w:val="22"/>
              </w:rPr>
              <w:t>e continue to improve</w:t>
            </w:r>
            <w:r w:rsidRPr="00EC713B">
              <w:rPr>
                <w:sz w:val="22"/>
                <w:szCs w:val="22"/>
              </w:rPr>
              <w:t xml:space="preserve"> of quality first teaching and adaptive practise</w:t>
            </w:r>
            <w:r w:rsidR="0004127E" w:rsidRPr="00EC713B">
              <w:rPr>
                <w:sz w:val="22"/>
                <w:szCs w:val="22"/>
              </w:rPr>
              <w:t xml:space="preserve"> th</w:t>
            </w:r>
            <w:r w:rsidRPr="00EC713B">
              <w:rPr>
                <w:sz w:val="22"/>
                <w:szCs w:val="22"/>
              </w:rPr>
              <w:t>rough</w:t>
            </w:r>
            <w:r w:rsidR="0004127E" w:rsidRPr="00EC713B">
              <w:rPr>
                <w:sz w:val="22"/>
                <w:szCs w:val="22"/>
              </w:rPr>
              <w:t xml:space="preserve"> high quality CPD. Through this we focus on areas in which disadvantaged pupils require the most support. Our approach will be responsive to common challenges and individual needs, rooted in assessment as well as meeting with staff to illicit areas of concern for the PP children in their year group. The approaches we have adopted complement each other to help pupils excel. </w:t>
            </w:r>
          </w:p>
          <w:p w14:paraId="47F40797" w14:textId="77777777" w:rsidR="00EC713B" w:rsidRPr="00EC713B" w:rsidRDefault="0004127E" w:rsidP="00EC713B">
            <w:pPr>
              <w:spacing w:after="0"/>
              <w:rPr>
                <w:sz w:val="22"/>
                <w:szCs w:val="22"/>
              </w:rPr>
            </w:pPr>
            <w:r w:rsidRPr="00EC713B">
              <w:rPr>
                <w:sz w:val="22"/>
                <w:szCs w:val="22"/>
              </w:rPr>
              <w:t>To ensure they are effective we will continue with the same aims throughout the three years:</w:t>
            </w:r>
          </w:p>
          <w:p w14:paraId="6CE8525C" w14:textId="37F7E55C" w:rsidR="00EC713B" w:rsidRPr="00EC713B" w:rsidRDefault="00EC713B" w:rsidP="00EC713B">
            <w:pPr>
              <w:numPr>
                <w:ilvl w:val="0"/>
                <w:numId w:val="15"/>
              </w:numPr>
              <w:autoSpaceDN/>
              <w:contextualSpacing/>
              <w:rPr>
                <w:rFonts w:cs="Arial"/>
                <w:iCs/>
                <w:color w:val="auto"/>
                <w:sz w:val="22"/>
                <w:szCs w:val="22"/>
                <w:lang w:val="en-US"/>
              </w:rPr>
            </w:pPr>
            <w:r w:rsidRPr="00EC713B">
              <w:rPr>
                <w:sz w:val="22"/>
                <w:szCs w:val="22"/>
              </w:rPr>
              <w:t>ensure all children have access to quality first teaching</w:t>
            </w:r>
          </w:p>
          <w:p w14:paraId="77D410EE" w14:textId="651B20FD" w:rsidR="00EC713B" w:rsidRPr="00EC713B" w:rsidRDefault="00EC713B" w:rsidP="00EC713B">
            <w:pPr>
              <w:numPr>
                <w:ilvl w:val="0"/>
                <w:numId w:val="15"/>
              </w:numPr>
              <w:autoSpaceDN/>
              <w:contextualSpacing/>
              <w:rPr>
                <w:rFonts w:cs="Arial"/>
                <w:iCs/>
                <w:color w:val="auto"/>
                <w:sz w:val="22"/>
                <w:szCs w:val="22"/>
                <w:lang w:val="en-US"/>
              </w:rPr>
            </w:pPr>
            <w:r w:rsidRPr="00EC713B">
              <w:rPr>
                <w:rFonts w:cs="Arial"/>
                <w:iCs/>
                <w:color w:val="auto"/>
                <w:sz w:val="22"/>
                <w:szCs w:val="22"/>
                <w:lang w:val="en-US"/>
              </w:rPr>
              <w:t>ensure disadvantaged pupils are challenged in the work that they’re set and adapted for to ensure progress</w:t>
            </w:r>
          </w:p>
          <w:p w14:paraId="1FC096C7" w14:textId="21AD3D80" w:rsidR="00EC713B" w:rsidRPr="00EC713B" w:rsidRDefault="00EC713B" w:rsidP="00EC713B">
            <w:pPr>
              <w:numPr>
                <w:ilvl w:val="0"/>
                <w:numId w:val="15"/>
              </w:numPr>
              <w:autoSpaceDN/>
              <w:ind w:left="714" w:hanging="357"/>
              <w:contextualSpacing/>
              <w:rPr>
                <w:rFonts w:cs="Arial"/>
                <w:iCs/>
                <w:color w:val="auto"/>
                <w:sz w:val="22"/>
                <w:szCs w:val="22"/>
                <w:lang w:val="en-US"/>
              </w:rPr>
            </w:pPr>
            <w:r w:rsidRPr="00EC713B">
              <w:rPr>
                <w:rFonts w:cs="Arial"/>
                <w:color w:val="auto"/>
                <w:sz w:val="22"/>
                <w:szCs w:val="22"/>
              </w:rPr>
              <w:t>act early to intervene at the point need is identified including SEMH</w:t>
            </w:r>
          </w:p>
          <w:p w14:paraId="2A7D54E9" w14:textId="3395DAE8" w:rsidR="008C6667" w:rsidRPr="00EC713B" w:rsidRDefault="00EC713B" w:rsidP="00EC713B">
            <w:pPr>
              <w:numPr>
                <w:ilvl w:val="0"/>
                <w:numId w:val="15"/>
              </w:numPr>
              <w:autoSpaceDN/>
              <w:ind w:left="714" w:hanging="357"/>
              <w:contextualSpacing/>
              <w:rPr>
                <w:rFonts w:cs="Arial"/>
                <w:iCs/>
                <w:color w:val="auto"/>
                <w:lang w:val="en-US"/>
              </w:rPr>
            </w:pPr>
            <w:r w:rsidRPr="00EC713B">
              <w:rPr>
                <w:rFonts w:cs="Arial"/>
                <w:color w:val="auto"/>
                <w:sz w:val="22"/>
                <w:szCs w:val="22"/>
              </w:rPr>
              <w:t>adopt a whole school approach in which all staff take responsibility for disadvantaged pupils’ outcomes and raise expectations of what they can achieve.</w:t>
            </w:r>
          </w:p>
        </w:tc>
      </w:tr>
    </w:tbl>
    <w:p w14:paraId="1FCE8887" w14:textId="77777777" w:rsidR="00B52894" w:rsidRDefault="00B52894" w:rsidP="0072129C">
      <w:pPr>
        <w:pStyle w:val="Heading2"/>
        <w:spacing w:before="600"/>
      </w:pPr>
    </w:p>
    <w:p w14:paraId="4868B68B" w14:textId="77777777" w:rsidR="00B52894" w:rsidRDefault="00B52894">
      <w:pPr>
        <w:suppressAutoHyphens w:val="0"/>
        <w:spacing w:after="0" w:line="240" w:lineRule="auto"/>
        <w:rPr>
          <w:b/>
          <w:color w:val="104F75"/>
          <w:sz w:val="32"/>
          <w:szCs w:val="32"/>
        </w:rPr>
      </w:pPr>
      <w:r>
        <w:br w:type="page"/>
      </w:r>
    </w:p>
    <w:p w14:paraId="2A7D54EB" w14:textId="51586D5F" w:rsidR="00E66558" w:rsidRDefault="009D71E8" w:rsidP="0072129C">
      <w:pPr>
        <w:pStyle w:val="Heading2"/>
        <w:spacing w:before="600"/>
      </w:pPr>
      <w:r>
        <w:lastRenderedPageBreak/>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614F1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875A4F">
            <w:pPr>
              <w:pStyle w:val="TableHeader"/>
              <w:ind w:left="0" w:right="0"/>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875A4F">
            <w:pPr>
              <w:pStyle w:val="TableHeader"/>
              <w:ind w:left="0" w:right="0"/>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rsidP="00875A4F">
            <w:pPr>
              <w:pStyle w:val="TableRow"/>
              <w:ind w:left="0" w:right="0"/>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6D7AB7BB" w:rsidR="00E66558" w:rsidRPr="00E27862" w:rsidRDefault="009D7E73" w:rsidP="00875A4F">
            <w:pPr>
              <w:autoSpaceDN/>
              <w:spacing w:before="60" w:after="120" w:line="240" w:lineRule="auto"/>
              <w:rPr>
                <w:rFonts w:cs="Arial"/>
                <w:iCs/>
                <w:color w:val="auto"/>
                <w:lang w:val="en-US"/>
              </w:rPr>
            </w:pPr>
            <w:r w:rsidRPr="00E27862">
              <w:rPr>
                <w:rFonts w:cs="Arial"/>
                <w:iCs/>
                <w:color w:val="auto"/>
                <w:lang w:val="en-US"/>
              </w:rPr>
              <w:t>A</w:t>
            </w:r>
            <w:r w:rsidR="00C202A1" w:rsidRPr="00E27862">
              <w:rPr>
                <w:rFonts w:cs="Arial"/>
                <w:iCs/>
                <w:color w:val="auto"/>
                <w:lang w:val="en-US"/>
              </w:rPr>
              <w:t>s</w:t>
            </w:r>
            <w:r w:rsidR="00997652" w:rsidRPr="00E27862">
              <w:rPr>
                <w:rFonts w:cs="Arial"/>
                <w:iCs/>
                <w:color w:val="auto"/>
                <w:lang w:val="en-US"/>
              </w:rPr>
              <w:t xml:space="preserve">sessments, </w:t>
            </w:r>
            <w:r w:rsidR="00670CC4">
              <w:rPr>
                <w:rFonts w:cs="Arial"/>
                <w:iCs/>
                <w:color w:val="auto"/>
                <w:lang w:val="en-US"/>
              </w:rPr>
              <w:t>monitoring</w:t>
            </w:r>
            <w:r w:rsidR="00997652" w:rsidRPr="00E27862">
              <w:rPr>
                <w:rFonts w:cs="Arial"/>
                <w:iCs/>
                <w:color w:val="auto"/>
                <w:lang w:val="en-US"/>
              </w:rPr>
              <w:t xml:space="preserve"> </w:t>
            </w:r>
            <w:r w:rsidR="0091058F" w:rsidRPr="00E27862">
              <w:rPr>
                <w:rFonts w:cs="Arial"/>
                <w:iCs/>
                <w:color w:val="auto"/>
                <w:lang w:val="en-US"/>
              </w:rPr>
              <w:t xml:space="preserve">and discussions </w:t>
            </w:r>
            <w:r w:rsidR="009E2FC0" w:rsidRPr="00E27862">
              <w:rPr>
                <w:rFonts w:cs="Arial"/>
                <w:iCs/>
                <w:color w:val="auto"/>
                <w:lang w:val="en-US"/>
              </w:rPr>
              <w:t>with pupils</w:t>
            </w:r>
            <w:r w:rsidR="00997652" w:rsidRPr="00E27862">
              <w:rPr>
                <w:rFonts w:cs="Arial"/>
                <w:iCs/>
                <w:color w:val="auto"/>
                <w:lang w:val="en-US"/>
              </w:rPr>
              <w:t xml:space="preserve"> </w:t>
            </w:r>
            <w:r w:rsidR="005A774B" w:rsidRPr="00E27862">
              <w:rPr>
                <w:rFonts w:cs="Arial"/>
                <w:iCs/>
                <w:color w:val="auto"/>
                <w:lang w:val="en-US"/>
              </w:rPr>
              <w:t>indicate</w:t>
            </w:r>
            <w:r w:rsidR="00670CC4">
              <w:rPr>
                <w:rFonts w:cs="Arial"/>
                <w:iCs/>
                <w:color w:val="auto"/>
                <w:lang w:val="en-US"/>
              </w:rPr>
              <w:t xml:space="preserve"> </w:t>
            </w:r>
            <w:r w:rsidR="00997652" w:rsidRPr="00E27862">
              <w:rPr>
                <w:rFonts w:cs="Arial"/>
                <w:iCs/>
                <w:color w:val="auto"/>
                <w:lang w:val="en-US"/>
              </w:rPr>
              <w:t xml:space="preserve">underdeveloped oral language </w:t>
            </w:r>
            <w:r w:rsidR="005A774B" w:rsidRPr="00E27862">
              <w:rPr>
                <w:rFonts w:cs="Arial"/>
                <w:iCs/>
                <w:color w:val="auto"/>
                <w:lang w:val="en-US"/>
              </w:rPr>
              <w:t xml:space="preserve">skills </w:t>
            </w:r>
            <w:r w:rsidR="00997652" w:rsidRPr="00E27862">
              <w:rPr>
                <w:rFonts w:cs="Arial"/>
                <w:iCs/>
                <w:color w:val="auto"/>
                <w:lang w:val="en-US"/>
              </w:rPr>
              <w:t xml:space="preserve">and </w:t>
            </w:r>
            <w:r w:rsidR="00670CC4">
              <w:rPr>
                <w:rFonts w:cs="Arial"/>
                <w:iCs/>
                <w:color w:val="auto"/>
                <w:lang w:val="en-US"/>
              </w:rPr>
              <w:t xml:space="preserve">a </w:t>
            </w:r>
            <w:r w:rsidR="00997652" w:rsidRPr="00E27862">
              <w:rPr>
                <w:rFonts w:cs="Arial"/>
                <w:iCs/>
                <w:color w:val="auto"/>
                <w:lang w:val="en-US"/>
              </w:rPr>
              <w:t xml:space="preserve">vocabulary </w:t>
            </w:r>
            <w:r w:rsidR="00D86CDA" w:rsidRPr="00E27862">
              <w:rPr>
                <w:rFonts w:cs="Arial"/>
                <w:iCs/>
                <w:color w:val="auto"/>
                <w:lang w:val="en-US"/>
              </w:rPr>
              <w:t xml:space="preserve">gap among </w:t>
            </w:r>
            <w:r w:rsidR="00670CC4">
              <w:rPr>
                <w:rFonts w:cs="Arial"/>
                <w:iCs/>
                <w:color w:val="auto"/>
                <w:lang w:val="en-US"/>
              </w:rPr>
              <w:t>our</w:t>
            </w:r>
            <w:r w:rsidR="00997652" w:rsidRPr="00E27862">
              <w:rPr>
                <w:rFonts w:cs="Arial"/>
                <w:iCs/>
                <w:color w:val="auto"/>
                <w:lang w:val="en-US"/>
              </w:rPr>
              <w:t xml:space="preserve"> disadvantaged </w:t>
            </w:r>
            <w:r w:rsidR="00670CC4">
              <w:rPr>
                <w:rFonts w:cs="Arial"/>
                <w:iCs/>
                <w:color w:val="auto"/>
                <w:lang w:val="en-US"/>
              </w:rPr>
              <w:t xml:space="preserve">and vulnerable </w:t>
            </w:r>
            <w:r w:rsidR="00997652" w:rsidRPr="00E27862">
              <w:rPr>
                <w:rFonts w:cs="Arial"/>
                <w:iCs/>
                <w:color w:val="auto"/>
                <w:lang w:val="en-US"/>
              </w:rPr>
              <w:t>pupils</w:t>
            </w:r>
            <w:r w:rsidR="00E52980" w:rsidRPr="00E27862">
              <w:rPr>
                <w:rFonts w:cs="Arial"/>
                <w:iCs/>
                <w:color w:val="auto"/>
                <w:lang w:val="en-US"/>
              </w:rPr>
              <w:t xml:space="preserve">. </w:t>
            </w:r>
            <w:r w:rsidR="00670CC4">
              <w:rPr>
                <w:rFonts w:cs="Arial"/>
                <w:iCs/>
                <w:color w:val="auto"/>
                <w:lang w:val="en-US"/>
              </w:rPr>
              <w:t xml:space="preserve">This can be seen as a general trend in assessments despite low numbers of disadvantaged children within our school. </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3253F8" w:rsidRDefault="009D71E8" w:rsidP="00875A4F">
            <w:pPr>
              <w:pStyle w:val="TableRow"/>
              <w:ind w:left="0" w:right="0"/>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334F1379" w:rsidR="005D359D" w:rsidRPr="00E27862" w:rsidRDefault="5B509BD2" w:rsidP="00875A4F">
            <w:pPr>
              <w:autoSpaceDN/>
              <w:spacing w:before="60" w:after="120" w:line="240" w:lineRule="auto"/>
              <w:rPr>
                <w:color w:val="auto"/>
                <w:lang w:val="en-US"/>
              </w:rPr>
            </w:pPr>
            <w:r w:rsidRPr="00E27862">
              <w:rPr>
                <w:color w:val="auto"/>
                <w:lang w:val="en-US"/>
              </w:rPr>
              <w:t>A</w:t>
            </w:r>
            <w:r w:rsidR="622873F7" w:rsidRPr="00E27862">
              <w:rPr>
                <w:color w:val="auto"/>
                <w:lang w:val="en-US"/>
              </w:rPr>
              <w:t xml:space="preserve">ssessments, </w:t>
            </w:r>
            <w:r w:rsidR="00670CC4">
              <w:rPr>
                <w:color w:val="auto"/>
                <w:lang w:val="en-US"/>
              </w:rPr>
              <w:t>monitoring</w:t>
            </w:r>
            <w:r w:rsidR="622873F7" w:rsidRPr="00E27862">
              <w:rPr>
                <w:color w:val="auto"/>
                <w:lang w:val="en-US"/>
              </w:rPr>
              <w:t xml:space="preserve"> and discussions with pupils</w:t>
            </w:r>
            <w:r w:rsidR="5EC57588" w:rsidRPr="00E27862">
              <w:rPr>
                <w:color w:val="auto"/>
                <w:lang w:val="en-US"/>
              </w:rPr>
              <w:t xml:space="preserve"> s</w:t>
            </w:r>
            <w:r w:rsidR="672D04CF" w:rsidRPr="00E27862">
              <w:rPr>
                <w:color w:val="auto"/>
                <w:lang w:val="en-US"/>
              </w:rPr>
              <w:t>uggest</w:t>
            </w:r>
            <w:r w:rsidR="5EC57588" w:rsidRPr="00E27862">
              <w:rPr>
                <w:color w:val="auto"/>
                <w:lang w:val="en-US"/>
              </w:rPr>
              <w:t xml:space="preserve"> </w:t>
            </w:r>
            <w:r w:rsidR="2A92CF0D" w:rsidRPr="00234DE0">
              <w:rPr>
                <w:color w:val="auto"/>
                <w:lang w:val="en-US"/>
              </w:rPr>
              <w:t>dis</w:t>
            </w:r>
            <w:r w:rsidR="5EC57588" w:rsidRPr="00234DE0">
              <w:rPr>
                <w:color w:val="auto"/>
                <w:lang w:val="en-US"/>
              </w:rPr>
              <w:t>advantaged pupils</w:t>
            </w:r>
            <w:r w:rsidR="6C61CAE2" w:rsidRPr="00234DE0">
              <w:rPr>
                <w:color w:val="auto"/>
                <w:lang w:val="en-US"/>
              </w:rPr>
              <w:t xml:space="preserve"> </w:t>
            </w:r>
            <w:r w:rsidR="0F22852E" w:rsidRPr="00234DE0">
              <w:rPr>
                <w:color w:val="auto"/>
                <w:lang w:val="en-US"/>
              </w:rPr>
              <w:t xml:space="preserve">generally </w:t>
            </w:r>
            <w:r w:rsidR="0A9BA0B0" w:rsidRPr="00234DE0">
              <w:rPr>
                <w:color w:val="auto"/>
                <w:lang w:val="en-US"/>
              </w:rPr>
              <w:t xml:space="preserve">have greater </w:t>
            </w:r>
            <w:r w:rsidR="0A9BA0B0" w:rsidRPr="00544383">
              <w:rPr>
                <w:color w:val="auto"/>
                <w:lang w:val="en-US"/>
              </w:rPr>
              <w:t>difficulties with</w:t>
            </w:r>
            <w:r w:rsidR="5EC57588" w:rsidRPr="00544383">
              <w:rPr>
                <w:color w:val="auto"/>
                <w:lang w:val="en-US"/>
              </w:rPr>
              <w:t xml:space="preserve"> read</w:t>
            </w:r>
            <w:r w:rsidR="004668ED" w:rsidRPr="00544383">
              <w:rPr>
                <w:color w:val="auto"/>
                <w:lang w:val="en-US"/>
              </w:rPr>
              <w:t>ing</w:t>
            </w:r>
            <w:r w:rsidR="004668ED" w:rsidRPr="00234DE0">
              <w:rPr>
                <w:color w:val="auto"/>
                <w:lang w:val="en-US"/>
              </w:rPr>
              <w:t xml:space="preserve"> than their peer</w:t>
            </w:r>
            <w:r w:rsidR="00EE4118" w:rsidRPr="00234DE0">
              <w:rPr>
                <w:color w:val="auto"/>
                <w:lang w:val="en-US"/>
              </w:rPr>
              <w:t>s</w:t>
            </w:r>
            <w:r w:rsidR="5EC57588" w:rsidRPr="00234DE0">
              <w:rPr>
                <w:color w:val="auto"/>
                <w:lang w:val="en-US"/>
              </w:rPr>
              <w:t>.</w:t>
            </w:r>
            <w:r w:rsidR="5C827F8F" w:rsidRPr="00234DE0">
              <w:rPr>
                <w:color w:val="auto"/>
                <w:lang w:val="en-US"/>
              </w:rPr>
              <w:t xml:space="preserve"> </w:t>
            </w:r>
            <w:r w:rsidR="00670CC4">
              <w:rPr>
                <w:rFonts w:cs="Arial"/>
                <w:iCs/>
                <w:color w:val="auto"/>
                <w:lang w:val="en-US"/>
              </w:rPr>
              <w:t>This can be seen as a general trend in assessments despite low numbers of disadvantaged children within our school.</w:t>
            </w:r>
          </w:p>
        </w:tc>
      </w:tr>
      <w:tr w:rsidR="00BB56CA" w:rsidRPr="00D050F1"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E8EB" w14:textId="24959B0F" w:rsidR="00BB56CA" w:rsidRPr="00D050F1" w:rsidRDefault="00E039E4" w:rsidP="00875A4F">
            <w:pPr>
              <w:pStyle w:val="TableRow"/>
              <w:ind w:left="0" w:right="0"/>
              <w:rPr>
                <w:color w:val="auto"/>
                <w:sz w:val="22"/>
                <w:szCs w:val="22"/>
              </w:rPr>
            </w:pPr>
            <w:r w:rsidRPr="00D050F1">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362A7" w14:textId="06339EEC" w:rsidR="00EA0063" w:rsidRPr="00670CC4" w:rsidRDefault="001C341C" w:rsidP="00875A4F">
            <w:pPr>
              <w:autoSpaceDN/>
              <w:spacing w:before="60" w:after="120" w:line="240" w:lineRule="auto"/>
              <w:rPr>
                <w:iCs/>
                <w:color w:val="auto"/>
                <w:lang w:val="en-US"/>
              </w:rPr>
            </w:pPr>
            <w:r w:rsidRPr="00D050F1">
              <w:rPr>
                <w:rFonts w:cs="Arial"/>
                <w:iCs/>
                <w:color w:val="auto"/>
                <w:lang w:val="en-US"/>
              </w:rPr>
              <w:t xml:space="preserve">Internal </w:t>
            </w:r>
            <w:r w:rsidR="00E67F7C" w:rsidRPr="00D050F1">
              <w:rPr>
                <w:rFonts w:cs="Arial"/>
                <w:iCs/>
                <w:color w:val="auto"/>
                <w:lang w:val="en-US"/>
              </w:rPr>
              <w:t>and external a</w:t>
            </w:r>
            <w:r w:rsidR="007F02FA" w:rsidRPr="00D050F1">
              <w:rPr>
                <w:rFonts w:cs="Arial"/>
                <w:iCs/>
                <w:color w:val="auto"/>
                <w:lang w:val="en-US"/>
              </w:rPr>
              <w:t>ssessments</w:t>
            </w:r>
            <w:r w:rsidRPr="00D050F1">
              <w:rPr>
                <w:rFonts w:cs="Arial"/>
                <w:iCs/>
                <w:color w:val="auto"/>
                <w:lang w:val="en-US"/>
              </w:rPr>
              <w:t xml:space="preserve"> </w:t>
            </w:r>
            <w:r w:rsidR="00B65C5B" w:rsidRPr="00D050F1">
              <w:rPr>
                <w:rFonts w:cs="Arial"/>
                <w:iCs/>
                <w:color w:val="auto"/>
                <w:lang w:val="en-US"/>
              </w:rPr>
              <w:t>indicate</w:t>
            </w:r>
            <w:r w:rsidR="007F02FA" w:rsidRPr="00D050F1">
              <w:rPr>
                <w:iCs/>
                <w:color w:val="auto"/>
                <w:lang w:val="en-US"/>
              </w:rPr>
              <w:t xml:space="preserve"> that</w:t>
            </w:r>
            <w:r w:rsidR="00BB56CA" w:rsidRPr="00D050F1">
              <w:rPr>
                <w:iCs/>
                <w:color w:val="auto"/>
                <w:lang w:val="en-US"/>
              </w:rPr>
              <w:t xml:space="preserve"> math</w:t>
            </w:r>
            <w:r w:rsidR="009E5C04" w:rsidRPr="00D050F1">
              <w:rPr>
                <w:iCs/>
                <w:color w:val="auto"/>
                <w:lang w:val="en-US"/>
              </w:rPr>
              <w:t>s</w:t>
            </w:r>
            <w:r w:rsidR="00BB56CA" w:rsidRPr="00D050F1">
              <w:rPr>
                <w:iCs/>
                <w:color w:val="auto"/>
                <w:lang w:val="en-US"/>
              </w:rPr>
              <w:t xml:space="preserve"> </w:t>
            </w:r>
            <w:r w:rsidR="007F02FA" w:rsidRPr="00D050F1">
              <w:rPr>
                <w:iCs/>
                <w:color w:val="auto"/>
                <w:lang w:val="en-US"/>
              </w:rPr>
              <w:t xml:space="preserve">attainment </w:t>
            </w:r>
            <w:r w:rsidR="00C71843" w:rsidRPr="00D050F1">
              <w:rPr>
                <w:iCs/>
                <w:color w:val="auto"/>
                <w:lang w:val="en-US"/>
              </w:rPr>
              <w:t>among</w:t>
            </w:r>
            <w:r w:rsidR="007F02FA" w:rsidRPr="00D050F1">
              <w:rPr>
                <w:iCs/>
                <w:color w:val="auto"/>
                <w:lang w:val="en-US"/>
              </w:rPr>
              <w:t xml:space="preserve"> </w:t>
            </w:r>
            <w:r w:rsidR="002B5FF7" w:rsidRPr="00D050F1">
              <w:rPr>
                <w:iCs/>
                <w:color w:val="auto"/>
                <w:lang w:val="en-US"/>
              </w:rPr>
              <w:t xml:space="preserve">disadvantaged pupils is </w:t>
            </w:r>
            <w:r w:rsidR="00B85F1E" w:rsidRPr="00D050F1">
              <w:rPr>
                <w:iCs/>
                <w:color w:val="auto"/>
                <w:lang w:val="en-US"/>
              </w:rPr>
              <w:t>below th</w:t>
            </w:r>
            <w:r w:rsidR="00B17E61" w:rsidRPr="00D050F1">
              <w:rPr>
                <w:iCs/>
                <w:color w:val="auto"/>
                <w:lang w:val="en-US"/>
              </w:rPr>
              <w:t>at of non-disadvantaged</w:t>
            </w:r>
            <w:r w:rsidR="00FE15FE" w:rsidRPr="00D050F1">
              <w:rPr>
                <w:iCs/>
                <w:color w:val="auto"/>
                <w:lang w:val="en-US"/>
              </w:rPr>
              <w:t xml:space="preserve"> p</w:t>
            </w:r>
            <w:r w:rsidR="00060CBF" w:rsidRPr="00D050F1">
              <w:rPr>
                <w:iCs/>
                <w:color w:val="auto"/>
                <w:lang w:val="en-US"/>
              </w:rPr>
              <w:t>upils</w:t>
            </w:r>
            <w:r w:rsidR="00B85F1E" w:rsidRPr="00D050F1">
              <w:rPr>
                <w:iCs/>
                <w:color w:val="auto"/>
                <w:lang w:val="en-US"/>
              </w:rPr>
              <w:t>.</w:t>
            </w:r>
            <w:r w:rsidR="00DC4156" w:rsidRPr="00D050F1">
              <w:rPr>
                <w:iCs/>
                <w:color w:val="auto"/>
                <w:lang w:val="en-US"/>
              </w:rPr>
              <w:t xml:space="preserve"> </w:t>
            </w:r>
            <w:r w:rsidR="00670CC4">
              <w:rPr>
                <w:rFonts w:cs="Arial"/>
                <w:iCs/>
                <w:color w:val="auto"/>
                <w:lang w:val="en-US"/>
              </w:rPr>
              <w:t>This can be seen as a general trend in assessments despite low numbers of disadvantaged children within our school.</w:t>
            </w:r>
          </w:p>
        </w:tc>
      </w:tr>
      <w:tr w:rsidR="00E66558" w:rsidRPr="00D050F1"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63C1748D" w:rsidR="00E66558" w:rsidRPr="00D050F1" w:rsidRDefault="00065BAE" w:rsidP="00875A4F">
            <w:pPr>
              <w:pStyle w:val="TableRow"/>
              <w:ind w:left="0" w:right="0"/>
              <w:rPr>
                <w:sz w:val="22"/>
                <w:szCs w:val="22"/>
              </w:rPr>
            </w:pPr>
            <w:r w:rsidRPr="00D050F1">
              <w:rPr>
                <w:sz w:val="22"/>
                <w:szCs w:val="22"/>
              </w:rPr>
              <w:t xml:space="preserve"> 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0D63D70D" w:rsidR="00660FD3" w:rsidRPr="00670CC4" w:rsidRDefault="00670CC4" w:rsidP="00670CC4">
            <w:pPr>
              <w:autoSpaceDN/>
              <w:spacing w:before="60" w:line="240" w:lineRule="auto"/>
              <w:rPr>
                <w:rFonts w:cs="Arial"/>
                <w:iCs/>
                <w:color w:val="auto"/>
                <w:lang w:val="en-US"/>
              </w:rPr>
            </w:pPr>
            <w:r>
              <w:rPr>
                <w:rFonts w:cs="Arial"/>
                <w:iCs/>
                <w:color w:val="auto"/>
                <w:lang w:val="en-US"/>
              </w:rPr>
              <w:t>Lack</w:t>
            </w:r>
            <w:r w:rsidR="00EB6DF7" w:rsidRPr="00D050F1">
              <w:rPr>
                <w:rFonts w:cs="Arial"/>
                <w:iCs/>
                <w:color w:val="auto"/>
                <w:lang w:val="en-US"/>
              </w:rPr>
              <w:t xml:space="preserve"> </w:t>
            </w:r>
            <w:r w:rsidR="00D937B4" w:rsidRPr="00D050F1">
              <w:rPr>
                <w:rFonts w:cs="Arial"/>
                <w:iCs/>
                <w:color w:val="auto"/>
                <w:lang w:val="en-US"/>
              </w:rPr>
              <w:t xml:space="preserve">of </w:t>
            </w:r>
            <w:r w:rsidR="00EB6DF7" w:rsidRPr="00D050F1">
              <w:rPr>
                <w:rFonts w:cs="Arial"/>
                <w:iCs/>
                <w:color w:val="auto"/>
                <w:lang w:val="en-US"/>
              </w:rPr>
              <w:t xml:space="preserve">enrichment </w:t>
            </w:r>
            <w:r w:rsidR="00C2713C" w:rsidRPr="00D050F1">
              <w:rPr>
                <w:rFonts w:cs="Arial"/>
                <w:iCs/>
                <w:color w:val="auto"/>
                <w:lang w:val="en-US"/>
              </w:rPr>
              <w:t>opportunities</w:t>
            </w:r>
            <w:r w:rsidR="002D1D2F" w:rsidRPr="00D050F1">
              <w:rPr>
                <w:rFonts w:cs="Arial"/>
                <w:iCs/>
                <w:color w:val="auto"/>
                <w:lang w:val="en-US"/>
              </w:rPr>
              <w:t>.</w:t>
            </w:r>
            <w:r w:rsidR="00C2713C" w:rsidRPr="00D050F1">
              <w:rPr>
                <w:rFonts w:cs="Arial"/>
                <w:iCs/>
                <w:color w:val="auto"/>
                <w:lang w:val="en-US"/>
              </w:rPr>
              <w:t xml:space="preserve"> These challenges </w:t>
            </w:r>
            <w:r w:rsidR="00816DCA" w:rsidRPr="00D050F1">
              <w:rPr>
                <w:rFonts w:cs="Arial"/>
                <w:iCs/>
                <w:color w:val="auto"/>
                <w:lang w:val="en-US"/>
              </w:rPr>
              <w:t>particularly affect disadvantaged pupil</w:t>
            </w:r>
            <w:r w:rsidR="00FF5AD9" w:rsidRPr="00D050F1">
              <w:rPr>
                <w:rFonts w:cs="Arial"/>
                <w:iCs/>
                <w:color w:val="auto"/>
                <w:lang w:val="en-US"/>
              </w:rPr>
              <w:t>s</w:t>
            </w:r>
            <w:r w:rsidR="00904EA4" w:rsidRPr="00D050F1">
              <w:rPr>
                <w:rFonts w:cs="Arial"/>
                <w:iCs/>
                <w:color w:val="auto"/>
                <w:lang w:val="en-US"/>
              </w:rPr>
              <w:t>.</w:t>
            </w:r>
          </w:p>
        </w:tc>
      </w:tr>
    </w:tbl>
    <w:p w14:paraId="2A7D54FF" w14:textId="5B257CEA" w:rsidR="00E66558" w:rsidRPr="00D050F1" w:rsidRDefault="009D71E8" w:rsidP="0072129C">
      <w:pPr>
        <w:pStyle w:val="Heading2"/>
        <w:spacing w:before="600"/>
      </w:pPr>
      <w:bookmarkStart w:id="16" w:name="_Toc443397160"/>
      <w:r w:rsidRPr="00D050F1">
        <w:t xml:space="preserve">Intended outcomes </w:t>
      </w:r>
    </w:p>
    <w:p w14:paraId="2A7D5500" w14:textId="77777777" w:rsidR="00E66558" w:rsidRPr="00D050F1" w:rsidRDefault="009D71E8" w:rsidP="0072129C">
      <w:r w:rsidRPr="00D050F1">
        <w:rPr>
          <w:color w:val="auto"/>
        </w:rPr>
        <w:t xml:space="preserve">This explains the outcomes we are aiming for </w:t>
      </w:r>
      <w:r w:rsidRPr="00D050F1">
        <w:rPr>
          <w:b/>
          <w:bCs/>
          <w:color w:val="auto"/>
        </w:rPr>
        <w:t>by the end of our current strategy plan</w:t>
      </w:r>
      <w:r w:rsidRPr="00D050F1">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rsidRPr="00D050F1" w14:paraId="2A7D5503" w14:textId="77777777" w:rsidTr="00614F1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Pr="00D050F1" w:rsidRDefault="009D71E8" w:rsidP="00396FA2">
            <w:pPr>
              <w:pStyle w:val="TableHeader"/>
              <w:ind w:left="0" w:right="0"/>
              <w:jc w:val="left"/>
            </w:pPr>
            <w:r w:rsidRPr="00D050F1">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Pr="00D050F1" w:rsidRDefault="009D71E8" w:rsidP="00396FA2">
            <w:pPr>
              <w:pStyle w:val="TableHeader"/>
              <w:ind w:left="0" w:right="0"/>
              <w:jc w:val="left"/>
            </w:pPr>
            <w:r w:rsidRPr="00D050F1">
              <w:t>Success criteria</w:t>
            </w:r>
          </w:p>
        </w:tc>
      </w:tr>
      <w:tr w:rsidR="00E66558" w:rsidRPr="00D050F1"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3B9F39C0" w:rsidR="00451A23" w:rsidRPr="00D050F1" w:rsidRDefault="001B758A" w:rsidP="00396FA2">
            <w:pPr>
              <w:pStyle w:val="TableRow"/>
              <w:spacing w:after="120"/>
              <w:ind w:left="0" w:right="0"/>
              <w:rPr>
                <w:rFonts w:cs="Arial"/>
                <w:color w:val="auto"/>
              </w:rPr>
            </w:pPr>
            <w:r w:rsidRPr="00D050F1">
              <w:rPr>
                <w:rFonts w:cs="Arial"/>
                <w:color w:val="auto"/>
              </w:rPr>
              <w:t>I</w:t>
            </w:r>
            <w:r w:rsidR="001203D6" w:rsidRPr="00D050F1">
              <w:rPr>
                <w:rFonts w:cs="Arial"/>
                <w:color w:val="auto"/>
              </w:rPr>
              <w:t>mproved ora</w:t>
            </w:r>
            <w:r w:rsidR="00155A11" w:rsidRPr="00D050F1">
              <w:rPr>
                <w:rFonts w:cs="Arial"/>
                <w:color w:val="auto"/>
              </w:rPr>
              <w:t>l language skil</w:t>
            </w:r>
            <w:r w:rsidR="00D51A3D" w:rsidRPr="00D050F1">
              <w:rPr>
                <w:rFonts w:cs="Arial"/>
                <w:color w:val="auto"/>
              </w:rPr>
              <w:t xml:space="preserve">ls and </w:t>
            </w:r>
            <w:r w:rsidR="00B35076" w:rsidRPr="00D050F1">
              <w:rPr>
                <w:rFonts w:cs="Arial"/>
                <w:color w:val="auto"/>
              </w:rPr>
              <w:t>vocab</w:t>
            </w:r>
            <w:r w:rsidR="002417D4" w:rsidRPr="00D050F1">
              <w:rPr>
                <w:rFonts w:cs="Arial"/>
                <w:color w:val="auto"/>
              </w:rPr>
              <w:t>ulary</w:t>
            </w:r>
            <w:r w:rsidRPr="00D050F1">
              <w:rPr>
                <w:rFonts w:cs="Arial"/>
                <w:color w:val="auto"/>
              </w:rPr>
              <w:t xml:space="preserve"> </w:t>
            </w:r>
            <w:r w:rsidR="00883CD9" w:rsidRPr="00D050F1">
              <w:rPr>
                <w:rFonts w:cs="Arial"/>
                <w:color w:val="auto"/>
              </w:rPr>
              <w:t>among</w:t>
            </w:r>
            <w:r w:rsidR="001203D6" w:rsidRPr="00D050F1">
              <w:rPr>
                <w:rFonts w:cs="Arial"/>
                <w:color w:val="auto"/>
              </w:rPr>
              <w:t xml:space="preserve"> disadvantaged pupils</w:t>
            </w:r>
            <w:r w:rsidR="003E4B48" w:rsidRPr="00D050F1">
              <w:rPr>
                <w:rFonts w:cs="Arial"/>
                <w:color w:val="auto"/>
              </w:rPr>
              <w:t>.</w:t>
            </w:r>
            <w:r w:rsidR="00ED5CBD" w:rsidRPr="00D050F1">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5" w14:textId="01F3CB8D" w:rsidR="00C863B9" w:rsidRPr="00D050F1" w:rsidRDefault="00E72FF0" w:rsidP="00396FA2">
            <w:pPr>
              <w:autoSpaceDN/>
              <w:spacing w:before="60" w:after="120" w:line="240" w:lineRule="auto"/>
              <w:rPr>
                <w:rFonts w:cs="Arial"/>
                <w:color w:val="auto"/>
              </w:rPr>
            </w:pPr>
            <w:r w:rsidRPr="00D050F1">
              <w:rPr>
                <w:rFonts w:cs="Arial"/>
                <w:color w:val="auto"/>
              </w:rPr>
              <w:t>A</w:t>
            </w:r>
            <w:r w:rsidR="00BC2306" w:rsidRPr="00D050F1">
              <w:rPr>
                <w:rFonts w:cs="Arial"/>
                <w:color w:val="auto"/>
              </w:rPr>
              <w:t>ssessment</w:t>
            </w:r>
            <w:r w:rsidR="00617354" w:rsidRPr="00D050F1">
              <w:rPr>
                <w:rFonts w:cs="Arial"/>
                <w:color w:val="auto"/>
              </w:rPr>
              <w:t>s</w:t>
            </w:r>
            <w:r w:rsidR="007F4DEB" w:rsidRPr="00D050F1">
              <w:rPr>
                <w:rFonts w:cs="Arial"/>
                <w:color w:val="auto"/>
              </w:rPr>
              <w:t xml:space="preserve"> </w:t>
            </w:r>
            <w:r w:rsidR="001E4E1D" w:rsidRPr="00D050F1">
              <w:rPr>
                <w:rFonts w:cs="Arial"/>
                <w:color w:val="auto"/>
              </w:rPr>
              <w:t xml:space="preserve">and </w:t>
            </w:r>
            <w:r w:rsidR="00E27A87">
              <w:rPr>
                <w:rFonts w:cs="Arial"/>
                <w:color w:val="auto"/>
              </w:rPr>
              <w:t>monitoring</w:t>
            </w:r>
            <w:r w:rsidR="00A4749A" w:rsidRPr="00D050F1">
              <w:rPr>
                <w:rFonts w:cs="Arial"/>
                <w:color w:val="auto"/>
              </w:rPr>
              <w:t xml:space="preserve"> </w:t>
            </w:r>
            <w:r w:rsidR="00CC1B11" w:rsidRPr="00D050F1">
              <w:rPr>
                <w:rFonts w:cs="Arial"/>
                <w:color w:val="auto"/>
              </w:rPr>
              <w:t>indicate</w:t>
            </w:r>
            <w:r w:rsidR="007F4DEB" w:rsidRPr="00D050F1">
              <w:rPr>
                <w:rFonts w:cs="Arial"/>
                <w:color w:val="auto"/>
              </w:rPr>
              <w:t xml:space="preserve"> </w:t>
            </w:r>
            <w:r w:rsidR="004F134F" w:rsidRPr="00D050F1">
              <w:rPr>
                <w:rFonts w:cs="Arial"/>
                <w:color w:val="auto"/>
              </w:rPr>
              <w:t>significantly improved oral language among</w:t>
            </w:r>
            <w:r w:rsidR="00BA1581" w:rsidRPr="00D050F1">
              <w:rPr>
                <w:rFonts w:cs="Arial"/>
                <w:color w:val="auto"/>
              </w:rPr>
              <w:t xml:space="preserve"> </w:t>
            </w:r>
            <w:r w:rsidR="00345879" w:rsidRPr="00D050F1">
              <w:rPr>
                <w:rFonts w:cs="Arial"/>
                <w:color w:val="auto"/>
              </w:rPr>
              <w:t>disadvantaged pupils</w:t>
            </w:r>
            <w:r w:rsidR="00F81007" w:rsidRPr="00D050F1">
              <w:rPr>
                <w:rFonts w:cs="Arial"/>
                <w:color w:val="auto"/>
              </w:rPr>
              <w:t xml:space="preserve">. </w:t>
            </w:r>
            <w:r w:rsidR="00F81007" w:rsidRPr="00D050F1">
              <w:rPr>
                <w:color w:val="auto"/>
              </w:rPr>
              <w:t xml:space="preserve">This </w:t>
            </w:r>
            <w:r w:rsidR="00E27A87">
              <w:rPr>
                <w:color w:val="auto"/>
              </w:rPr>
              <w:t xml:space="preserve">will be </w:t>
            </w:r>
            <w:r w:rsidR="00F81007" w:rsidRPr="00D050F1">
              <w:rPr>
                <w:color w:val="auto"/>
              </w:rPr>
              <w:t xml:space="preserve"> evident </w:t>
            </w:r>
            <w:r w:rsidR="00E27A87">
              <w:rPr>
                <w:color w:val="auto"/>
              </w:rPr>
              <w:t xml:space="preserve">through </w:t>
            </w:r>
            <w:r w:rsidR="00F81007" w:rsidRPr="00D050F1">
              <w:rPr>
                <w:color w:val="auto"/>
              </w:rPr>
              <w:t>engagement in lessons, book scrutiny and ongoing formative assessment.</w:t>
            </w:r>
          </w:p>
        </w:tc>
      </w:tr>
      <w:tr w:rsidR="00E66558" w:rsidRPr="00D050F1"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3C81A218" w:rsidR="00CB316E" w:rsidRPr="00D050F1" w:rsidRDefault="00CB316E" w:rsidP="00396FA2">
            <w:pPr>
              <w:pStyle w:val="TableRow"/>
              <w:spacing w:after="120"/>
              <w:ind w:left="0" w:right="0"/>
              <w:rPr>
                <w:rFonts w:cs="Arial"/>
                <w:color w:val="auto"/>
              </w:rPr>
            </w:pPr>
            <w:r w:rsidRPr="00D050F1">
              <w:rPr>
                <w:rFonts w:cs="Arial"/>
                <w:color w:val="auto"/>
              </w:rPr>
              <w:t>Improved reading a</w:t>
            </w:r>
            <w:r w:rsidR="003D4F5E" w:rsidRPr="00D050F1">
              <w:rPr>
                <w:rFonts w:cs="Arial"/>
                <w:color w:val="auto"/>
              </w:rPr>
              <w:t>ttainment</w:t>
            </w:r>
            <w:r w:rsidRPr="00D050F1">
              <w:rPr>
                <w:rFonts w:cs="Arial"/>
                <w:color w:val="auto"/>
              </w:rPr>
              <w:t xml:space="preserve"> </w:t>
            </w:r>
            <w:r w:rsidR="00A87062" w:rsidRPr="00D050F1">
              <w:rPr>
                <w:rFonts w:cs="Arial"/>
                <w:color w:val="auto"/>
              </w:rPr>
              <w:t>among</w:t>
            </w:r>
            <w:r w:rsidRPr="00D050F1">
              <w:rPr>
                <w:rFonts w:cs="Arial"/>
                <w:color w:val="auto"/>
              </w:rPr>
              <w:t xml:space="preserve"> disadvantaged pupils</w:t>
            </w:r>
            <w:r w:rsidR="00212A8E" w:rsidRPr="00D050F1">
              <w:rPr>
                <w:rFonts w:cs="Arial"/>
                <w:color w:val="auto"/>
              </w:rPr>
              <w:t>.</w:t>
            </w:r>
            <w:r w:rsidRPr="00D050F1">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B" w14:textId="262A8D7C" w:rsidR="00A564D2" w:rsidRPr="00D050F1" w:rsidRDefault="000C3C8F" w:rsidP="00396FA2">
            <w:pPr>
              <w:pStyle w:val="TableRowCentered"/>
              <w:spacing w:after="120"/>
              <w:ind w:left="0" w:right="0"/>
              <w:jc w:val="left"/>
              <w:rPr>
                <w:rFonts w:cs="Arial"/>
                <w:color w:val="auto"/>
                <w:lang w:eastAsia="en-US"/>
              </w:rPr>
            </w:pPr>
            <w:r>
              <w:rPr>
                <w:rFonts w:cs="Arial"/>
                <w:color w:val="auto"/>
              </w:rPr>
              <w:t xml:space="preserve">Phonics and </w:t>
            </w:r>
            <w:r w:rsidR="008933B1" w:rsidRPr="00D050F1">
              <w:rPr>
                <w:rFonts w:cs="Arial"/>
                <w:color w:val="auto"/>
              </w:rPr>
              <w:t>KS2</w:t>
            </w:r>
            <w:r w:rsidR="00CA5781" w:rsidRPr="00D050F1">
              <w:rPr>
                <w:rFonts w:cs="Arial"/>
                <w:color w:val="auto"/>
                <w:lang w:eastAsia="en-US"/>
              </w:rPr>
              <w:t xml:space="preserve"> </w:t>
            </w:r>
            <w:r w:rsidR="00867018" w:rsidRPr="00D050F1">
              <w:rPr>
                <w:rFonts w:cs="Arial"/>
                <w:color w:val="auto"/>
                <w:lang w:eastAsia="en-US"/>
              </w:rPr>
              <w:t xml:space="preserve">reading </w:t>
            </w:r>
            <w:r w:rsidR="00CA5781" w:rsidRPr="00D050F1">
              <w:rPr>
                <w:rFonts w:cs="Arial"/>
                <w:color w:val="auto"/>
                <w:lang w:eastAsia="en-US"/>
              </w:rPr>
              <w:t xml:space="preserve">outcomes </w:t>
            </w:r>
            <w:r w:rsidR="00047FBF" w:rsidRPr="00D050F1">
              <w:rPr>
                <w:rFonts w:cs="Arial"/>
                <w:color w:val="auto"/>
                <w:lang w:eastAsia="en-US"/>
              </w:rPr>
              <w:t>show</w:t>
            </w:r>
            <w:r w:rsidR="0053752B" w:rsidRPr="00D050F1">
              <w:rPr>
                <w:rFonts w:cs="Arial"/>
                <w:color w:val="auto"/>
                <w:lang w:eastAsia="en-US"/>
              </w:rPr>
              <w:t xml:space="preserve"> that</w:t>
            </w:r>
            <w:r w:rsidR="004C57FE" w:rsidRPr="00D050F1">
              <w:rPr>
                <w:rFonts w:cs="Arial"/>
                <w:color w:val="auto"/>
                <w:lang w:eastAsia="en-US"/>
              </w:rPr>
              <w:t xml:space="preserve"> </w:t>
            </w:r>
            <w:r w:rsidR="00E27A87">
              <w:rPr>
                <w:rFonts w:cs="Arial"/>
                <w:color w:val="auto"/>
                <w:lang w:eastAsia="en-US"/>
              </w:rPr>
              <w:t>the gap is narrowing</w:t>
            </w:r>
            <w:r w:rsidR="004A0CA4" w:rsidRPr="00D050F1">
              <w:rPr>
                <w:rFonts w:cs="Arial"/>
                <w:color w:val="auto"/>
                <w:lang w:eastAsia="en-US"/>
              </w:rPr>
              <w:t>.</w:t>
            </w:r>
            <w:r w:rsidR="00E27A87">
              <w:rPr>
                <w:rFonts w:cs="Arial"/>
                <w:color w:val="auto"/>
                <w:lang w:eastAsia="en-US"/>
              </w:rPr>
              <w:t xml:space="preserve"> Number of disadvantaged pupils will </w:t>
            </w:r>
            <w:r>
              <w:rPr>
                <w:rFonts w:cs="Arial"/>
                <w:color w:val="auto"/>
                <w:lang w:eastAsia="en-US"/>
              </w:rPr>
              <w:t>impact this data. In cases where there is only 1 disadvantaged pupil in a cohort, it would be difficult to affix a % gap. Analysis of the child or children’s progress will have to be monitored.</w:t>
            </w:r>
          </w:p>
        </w:tc>
      </w:tr>
      <w:tr w:rsidR="00B17E61" w:rsidRPr="00D050F1"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E947" w14:textId="5434351B" w:rsidR="00B17E61" w:rsidRPr="00D050F1" w:rsidRDefault="00B17E61" w:rsidP="00396FA2">
            <w:pPr>
              <w:pStyle w:val="TableRow"/>
              <w:spacing w:after="120"/>
              <w:ind w:left="0" w:right="0"/>
              <w:rPr>
                <w:rFonts w:cs="Arial"/>
                <w:color w:val="auto"/>
              </w:rPr>
            </w:pPr>
            <w:r w:rsidRPr="00D050F1">
              <w:rPr>
                <w:rFonts w:cs="Arial"/>
                <w:color w:val="auto"/>
              </w:rPr>
              <w:t xml:space="preserve">Improved maths attainment for disadvantaged pupils </w:t>
            </w:r>
            <w:r w:rsidR="00BB1AD6" w:rsidRPr="00D050F1">
              <w:rPr>
                <w:rFonts w:cs="Arial"/>
                <w:color w:val="auto"/>
              </w:rPr>
              <w:t>at the end of KS2</w:t>
            </w:r>
            <w:r w:rsidR="00212A8E" w:rsidRPr="00D050F1">
              <w:rPr>
                <w:rFonts w:cs="Arial"/>
                <w:color w:val="auto"/>
              </w:rPr>
              <w:t>.</w:t>
            </w:r>
            <w:r w:rsidR="00BB1AD6" w:rsidRPr="00D050F1">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83D75" w14:textId="31682696" w:rsidR="00B17E61" w:rsidRPr="00D050F1" w:rsidRDefault="0025127A" w:rsidP="00396FA2">
            <w:pPr>
              <w:pStyle w:val="TableRowCentered"/>
              <w:ind w:left="0" w:right="0"/>
              <w:jc w:val="left"/>
              <w:rPr>
                <w:rFonts w:cs="Arial"/>
                <w:color w:val="auto"/>
                <w:szCs w:val="24"/>
                <w:lang w:eastAsia="en-US"/>
              </w:rPr>
            </w:pPr>
            <w:r w:rsidRPr="00D050F1">
              <w:rPr>
                <w:rFonts w:cs="Arial"/>
                <w:color w:val="auto"/>
              </w:rPr>
              <w:t>KS2</w:t>
            </w:r>
            <w:r w:rsidRPr="00D050F1">
              <w:rPr>
                <w:rFonts w:cs="Arial"/>
                <w:color w:val="auto"/>
                <w:szCs w:val="24"/>
                <w:lang w:eastAsia="en-US"/>
              </w:rPr>
              <w:t xml:space="preserve"> maths outcomes </w:t>
            </w:r>
            <w:r w:rsidR="000C3C8F" w:rsidRPr="00D050F1">
              <w:rPr>
                <w:rFonts w:cs="Arial"/>
                <w:color w:val="auto"/>
                <w:lang w:eastAsia="en-US"/>
              </w:rPr>
              <w:t xml:space="preserve">show that </w:t>
            </w:r>
            <w:r w:rsidR="000C3C8F">
              <w:rPr>
                <w:rFonts w:cs="Arial"/>
                <w:color w:val="auto"/>
                <w:lang w:eastAsia="en-US"/>
              </w:rPr>
              <w:t>the gap is narrowing</w:t>
            </w:r>
            <w:r w:rsidR="000C3C8F" w:rsidRPr="00D050F1">
              <w:rPr>
                <w:rFonts w:cs="Arial"/>
                <w:color w:val="auto"/>
                <w:lang w:eastAsia="en-US"/>
              </w:rPr>
              <w:t>.</w:t>
            </w:r>
            <w:r w:rsidR="000C3C8F">
              <w:rPr>
                <w:rFonts w:cs="Arial"/>
                <w:color w:val="auto"/>
                <w:lang w:eastAsia="en-US"/>
              </w:rPr>
              <w:t xml:space="preserve"> Number of disadvantaged pupils will impact this data. In cases where there is only 1 disadvantaged pupil in a cohort, it would be difficult to affix a % gap. Analysis of the child or children’s progress will have to be monitored.</w:t>
            </w:r>
          </w:p>
        </w:tc>
      </w:tr>
      <w:tr w:rsidR="000C3C8F" w:rsidRPr="00D050F1"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BF86" w14:textId="78624142" w:rsidR="000C3C8F" w:rsidRPr="00D050F1" w:rsidRDefault="000C3C8F" w:rsidP="000C3C8F">
            <w:pPr>
              <w:spacing w:before="60" w:line="240" w:lineRule="auto"/>
              <w:rPr>
                <w:rFonts w:cs="Arial"/>
                <w:color w:val="auto"/>
              </w:rPr>
            </w:pPr>
            <w:r w:rsidRPr="00B74635">
              <w:lastRenderedPageBreak/>
              <w:t>To provide quality enrichment activities for all pupils especially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3CFE" w14:textId="471E81B1" w:rsidR="000C3C8F" w:rsidRPr="000C3C8F" w:rsidRDefault="000C3C8F" w:rsidP="000C3C8F">
            <w:pPr>
              <w:autoSpaceDN/>
              <w:spacing w:before="60" w:after="120" w:line="240" w:lineRule="auto"/>
              <w:rPr>
                <w:rFonts w:cs="Arial"/>
                <w:color w:val="auto"/>
              </w:rPr>
            </w:pPr>
            <w:r w:rsidRPr="00B74635">
              <w:t xml:space="preserve">Improved enrichment opportunities for pupils through clubs and access to high quality provision for the wider curriculum Child led clubs and assemblies. Access to inspirational job roles (visitors/parents) through the curriculum, Careers day, STEM and art projects. </w:t>
            </w:r>
          </w:p>
        </w:tc>
      </w:tr>
    </w:tbl>
    <w:p w14:paraId="2A7D5512" w14:textId="46EA49DB" w:rsidR="00E66558" w:rsidRPr="00D050F1" w:rsidRDefault="009D71E8" w:rsidP="008C0F97">
      <w:pPr>
        <w:pStyle w:val="Heading2"/>
      </w:pPr>
      <w:r w:rsidRPr="00D050F1">
        <w:t>Activity in this academic year</w:t>
      </w:r>
    </w:p>
    <w:p w14:paraId="2A7D5513" w14:textId="7B1F7F98" w:rsidR="00E66558" w:rsidRPr="00D050F1" w:rsidRDefault="009D71E8" w:rsidP="0072129C">
      <w:pPr>
        <w:spacing w:after="480"/>
      </w:pPr>
      <w:r w:rsidRPr="00D050F1">
        <w:t xml:space="preserve">This details how we intend to spend our pupil premium funding </w:t>
      </w:r>
      <w:r w:rsidRPr="00D050F1">
        <w:rPr>
          <w:b/>
          <w:bCs/>
        </w:rPr>
        <w:t>this academic year</w:t>
      </w:r>
      <w:r w:rsidRPr="00D050F1">
        <w:t xml:space="preserve"> to address the challenges listed above.</w:t>
      </w:r>
    </w:p>
    <w:p w14:paraId="2A7D5514" w14:textId="77777777" w:rsidR="00E66558" w:rsidRPr="00D050F1" w:rsidRDefault="009D71E8" w:rsidP="0072129C">
      <w:pPr>
        <w:pStyle w:val="Heading3"/>
      </w:pPr>
      <w:r w:rsidRPr="00D050F1">
        <w:t>Teaching (for example, CPD, recruitment and retention)</w:t>
      </w:r>
    </w:p>
    <w:p w14:paraId="2A7D5515" w14:textId="3CA7CA00" w:rsidR="00E66558" w:rsidRPr="00D050F1" w:rsidRDefault="009D71E8" w:rsidP="0072129C">
      <w:pPr>
        <w:rPr>
          <w:color w:val="0070C0"/>
        </w:rPr>
      </w:pPr>
      <w:r w:rsidRPr="00D050F1">
        <w:t xml:space="preserve">Budgeted cost: </w:t>
      </w:r>
      <w:r w:rsidRPr="00D050F1">
        <w:rPr>
          <w:b/>
          <w:bCs/>
          <w:color w:val="auto"/>
        </w:rPr>
        <w:t>£</w:t>
      </w:r>
      <w:r w:rsidR="00A00871">
        <w:rPr>
          <w:b/>
          <w:bCs/>
          <w:color w:val="auto"/>
        </w:rPr>
        <w:t xml:space="preserve"> </w:t>
      </w:r>
      <w:r w:rsidR="00B763C3">
        <w:rPr>
          <w:b/>
          <w:bCs/>
          <w:color w:val="auto"/>
        </w:rPr>
        <w:t>14199</w:t>
      </w:r>
    </w:p>
    <w:tbl>
      <w:tblPr>
        <w:tblW w:w="5000" w:type="pct"/>
        <w:tblLayout w:type="fixed"/>
        <w:tblCellMar>
          <w:left w:w="10" w:type="dxa"/>
          <w:right w:w="10" w:type="dxa"/>
        </w:tblCellMar>
        <w:tblLook w:val="04A0" w:firstRow="1" w:lastRow="0" w:firstColumn="1" w:lastColumn="0" w:noHBand="0" w:noVBand="1"/>
      </w:tblPr>
      <w:tblGrid>
        <w:gridCol w:w="3681"/>
        <w:gridCol w:w="4252"/>
        <w:gridCol w:w="1553"/>
      </w:tblGrid>
      <w:tr w:rsidR="00E66558" w:rsidRPr="00D050F1" w14:paraId="2A7D5519" w14:textId="77777777" w:rsidTr="00614F1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Pr="00D050F1" w:rsidRDefault="009D71E8" w:rsidP="0072129C">
            <w:pPr>
              <w:pStyle w:val="TableHeader"/>
              <w:jc w:val="left"/>
            </w:pPr>
            <w:r w:rsidRPr="00D050F1">
              <w:t>Activity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Pr="00D050F1" w:rsidRDefault="009D71E8" w:rsidP="0072129C">
            <w:pPr>
              <w:pStyle w:val="TableHeader"/>
              <w:jc w:val="left"/>
            </w:pPr>
            <w:r w:rsidRPr="00D050F1">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Pr="00D050F1" w:rsidRDefault="009D71E8" w:rsidP="0072129C">
            <w:pPr>
              <w:pStyle w:val="TableHeader"/>
              <w:jc w:val="left"/>
            </w:pPr>
            <w:r w:rsidRPr="00D050F1">
              <w:t>Challenge number(s) addressed</w:t>
            </w:r>
          </w:p>
        </w:tc>
      </w:tr>
      <w:tr w:rsidR="00E66558" w:rsidRPr="00D050F1" w14:paraId="2A7D5521"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200D6B41" w:rsidR="00E66558" w:rsidRPr="00D050F1" w:rsidRDefault="007C216F" w:rsidP="00396FA2">
            <w:pPr>
              <w:autoSpaceDN/>
              <w:spacing w:before="60" w:line="240" w:lineRule="auto"/>
              <w:rPr>
                <w:iCs/>
                <w:color w:val="auto"/>
                <w:lang w:val="en-US"/>
              </w:rPr>
            </w:pPr>
            <w:r w:rsidRPr="00D050F1">
              <w:rPr>
                <w:iCs/>
                <w:color w:val="auto"/>
                <w:lang w:val="en-US"/>
              </w:rPr>
              <w:t xml:space="preserve">Embedding dialogic </w:t>
            </w:r>
            <w:r w:rsidR="00A37A7E" w:rsidRPr="00D050F1">
              <w:rPr>
                <w:iCs/>
                <w:color w:val="auto"/>
                <w:lang w:val="en-US"/>
              </w:rPr>
              <w:t>activities</w:t>
            </w:r>
            <w:r w:rsidR="00063207" w:rsidRPr="00D050F1">
              <w:rPr>
                <w:iCs/>
                <w:color w:val="auto"/>
                <w:lang w:val="en-US"/>
              </w:rPr>
              <w:t xml:space="preserve"> </w:t>
            </w:r>
            <w:r w:rsidRPr="00D050F1">
              <w:rPr>
                <w:iCs/>
                <w:color w:val="auto"/>
                <w:lang w:val="en-US"/>
              </w:rPr>
              <w:t xml:space="preserve">across </w:t>
            </w:r>
            <w:r w:rsidR="001E5F86" w:rsidRPr="00D050F1">
              <w:rPr>
                <w:iCs/>
                <w:color w:val="auto"/>
                <w:lang w:val="en-US"/>
              </w:rPr>
              <w:t xml:space="preserve">the </w:t>
            </w:r>
            <w:r w:rsidRPr="00D050F1">
              <w:rPr>
                <w:iCs/>
                <w:color w:val="auto"/>
                <w:lang w:val="en-US"/>
              </w:rPr>
              <w:t>school</w:t>
            </w:r>
            <w:r w:rsidR="001E5F86" w:rsidRPr="00D050F1">
              <w:rPr>
                <w:iCs/>
                <w:color w:val="auto"/>
                <w:lang w:val="en-US"/>
              </w:rPr>
              <w:t xml:space="preserve"> curriculum</w:t>
            </w:r>
            <w:r w:rsidR="00C241F8" w:rsidRPr="00D050F1">
              <w:rPr>
                <w:iCs/>
                <w:color w:val="auto"/>
                <w:lang w:val="en-US"/>
              </w:rPr>
              <w:t xml:space="preserve">. </w:t>
            </w:r>
            <w:r w:rsidR="0033017B" w:rsidRPr="00D050F1">
              <w:rPr>
                <w:iCs/>
                <w:color w:val="auto"/>
                <w:lang w:val="en-US"/>
              </w:rPr>
              <w:t>These</w:t>
            </w:r>
            <w:r w:rsidR="00DF7C87" w:rsidRPr="00D050F1">
              <w:rPr>
                <w:iCs/>
                <w:color w:val="auto"/>
                <w:lang w:val="en-US"/>
              </w:rPr>
              <w:t xml:space="preserve"> can support pupils to articulate </w:t>
            </w:r>
            <w:r w:rsidR="00753BE2" w:rsidRPr="00D050F1">
              <w:rPr>
                <w:iCs/>
                <w:color w:val="auto"/>
                <w:lang w:val="en-US"/>
              </w:rPr>
              <w:t xml:space="preserve">key </w:t>
            </w:r>
            <w:r w:rsidR="00DF7C87" w:rsidRPr="00D050F1">
              <w:rPr>
                <w:iCs/>
                <w:color w:val="auto"/>
                <w:lang w:val="en-US"/>
              </w:rPr>
              <w:t>ideas, consolidate</w:t>
            </w:r>
            <w:r w:rsidR="00B52263" w:rsidRPr="00D050F1">
              <w:rPr>
                <w:iCs/>
                <w:color w:val="auto"/>
                <w:lang w:val="en-US"/>
              </w:rPr>
              <w:t xml:space="preserve"> understanding and extend vocabulary.</w:t>
            </w:r>
            <w:r w:rsidR="00E46D02" w:rsidRPr="00D050F1">
              <w:rPr>
                <w:iCs/>
                <w:color w:val="auto"/>
                <w:lang w:val="en-US"/>
              </w:rPr>
              <w:t xml:space="preserve"> </w:t>
            </w:r>
            <w:r w:rsidR="00305DCE" w:rsidRPr="00D050F1">
              <w:rPr>
                <w:color w:val="auto"/>
              </w:rPr>
              <w:t>We will p</w:t>
            </w:r>
            <w:r w:rsidR="0057032A" w:rsidRPr="00D050F1">
              <w:rPr>
                <w:color w:val="auto"/>
              </w:rPr>
              <w:t>urchase</w:t>
            </w:r>
            <w:r w:rsidR="002A63FA" w:rsidRPr="00D050F1">
              <w:rPr>
                <w:color w:val="auto"/>
              </w:rPr>
              <w:t xml:space="preserve"> </w:t>
            </w:r>
            <w:r w:rsidR="008C7C95" w:rsidRPr="00D050F1">
              <w:rPr>
                <w:color w:val="auto"/>
              </w:rPr>
              <w:t>resources</w:t>
            </w:r>
            <w:r w:rsidR="00A95D4B" w:rsidRPr="00D050F1">
              <w:rPr>
                <w:color w:val="auto"/>
              </w:rPr>
              <w:t xml:space="preserve"> and </w:t>
            </w:r>
            <w:r w:rsidR="0057032A" w:rsidRPr="00D050F1">
              <w:rPr>
                <w:color w:val="auto"/>
              </w:rPr>
              <w:t xml:space="preserve">fund </w:t>
            </w:r>
            <w:r w:rsidR="00EC1431" w:rsidRPr="00D050F1">
              <w:rPr>
                <w:color w:val="auto"/>
              </w:rPr>
              <w:t xml:space="preserve">ongoing teacher </w:t>
            </w:r>
            <w:r w:rsidR="00F81BA5" w:rsidRPr="00D050F1">
              <w:rPr>
                <w:color w:val="auto"/>
              </w:rPr>
              <w:t>training</w:t>
            </w:r>
            <w:r w:rsidR="00A95D4B" w:rsidRPr="00D050F1">
              <w:rPr>
                <w:color w:val="auto"/>
              </w:rPr>
              <w:t xml:space="preserve"> and</w:t>
            </w:r>
            <w:r w:rsidR="00687677" w:rsidRPr="00D050F1">
              <w:rPr>
                <w:color w:val="auto"/>
              </w:rPr>
              <w:t xml:space="preserve"> release time</w:t>
            </w:r>
            <w:r w:rsidR="00F81BA5" w:rsidRPr="00D050F1">
              <w:rPr>
                <w:color w:val="auto"/>
              </w:rPr>
              <w:t>.</w:t>
            </w:r>
            <w:r w:rsidR="00B13027" w:rsidRPr="00D050F1">
              <w:rPr>
                <w:color w:val="auto"/>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5A51F" w14:textId="639F4B76" w:rsidR="006E2090" w:rsidRPr="00D050F1" w:rsidRDefault="00D7718E" w:rsidP="00396FA2">
            <w:pPr>
              <w:autoSpaceDN/>
              <w:spacing w:before="60" w:after="60" w:line="240" w:lineRule="auto"/>
              <w:rPr>
                <w:rFonts w:cs="Arial"/>
                <w:color w:val="auto"/>
              </w:rPr>
            </w:pPr>
            <w:r w:rsidRPr="00D050F1">
              <w:rPr>
                <w:rFonts w:cs="Arial"/>
                <w:color w:val="auto"/>
              </w:rPr>
              <w:t xml:space="preserve">There is a strong evidence base that suggests </w:t>
            </w:r>
            <w:r w:rsidR="000A5F10" w:rsidRPr="00D050F1">
              <w:rPr>
                <w:rFonts w:cs="Arial"/>
                <w:color w:val="auto"/>
              </w:rPr>
              <w:t>oral language interventions</w:t>
            </w:r>
            <w:r w:rsidR="007B42C3" w:rsidRPr="00D050F1">
              <w:rPr>
                <w:rFonts w:cs="Arial"/>
                <w:color w:val="auto"/>
              </w:rPr>
              <w:t>, including dialogic activities</w:t>
            </w:r>
            <w:r w:rsidR="006E5A88" w:rsidRPr="00D050F1">
              <w:rPr>
                <w:rFonts w:cs="Arial"/>
                <w:color w:val="auto"/>
              </w:rPr>
              <w:t xml:space="preserve"> such as </w:t>
            </w:r>
            <w:r w:rsidR="003D28EF" w:rsidRPr="00D050F1">
              <w:rPr>
                <w:rFonts w:cs="Arial"/>
                <w:color w:val="auto"/>
              </w:rPr>
              <w:t>high-quality classroom discussion</w:t>
            </w:r>
            <w:r w:rsidR="006E5A88" w:rsidRPr="00D050F1">
              <w:rPr>
                <w:rFonts w:cs="Arial"/>
                <w:color w:val="auto"/>
              </w:rPr>
              <w:t>,</w:t>
            </w:r>
            <w:r w:rsidRPr="00D050F1">
              <w:rPr>
                <w:rFonts w:cs="Arial"/>
                <w:color w:val="auto"/>
              </w:rPr>
              <w:t xml:space="preserve"> are inexpensive to implement with high impacts on reading</w:t>
            </w:r>
            <w:r w:rsidR="00461B5D" w:rsidRPr="00D050F1">
              <w:rPr>
                <w:rFonts w:cs="Arial"/>
                <w:color w:val="auto"/>
              </w:rPr>
              <w:t>:</w:t>
            </w:r>
          </w:p>
          <w:p w14:paraId="2A7D551F" w14:textId="7AAB1294" w:rsidR="00E66558" w:rsidRPr="00D050F1" w:rsidRDefault="0037532E" w:rsidP="00396FA2">
            <w:pPr>
              <w:autoSpaceDN/>
              <w:spacing w:before="60" w:after="60" w:line="240" w:lineRule="auto"/>
              <w:rPr>
                <w:color w:val="auto"/>
              </w:rPr>
            </w:pPr>
            <w:hyperlink r:id="rId11" w:history="1">
              <w:r w:rsidRPr="00D050F1">
                <w:rPr>
                  <w:rStyle w:val="Hyperlink"/>
                  <w:iCs/>
                  <w:szCs w:val="28"/>
                  <w:lang w:val="en-US"/>
                </w:rPr>
                <w:t xml:space="preserve">Oral language interventions | </w:t>
              </w:r>
              <w:r w:rsidR="00604754" w:rsidRPr="00D050F1">
                <w:rPr>
                  <w:rStyle w:val="Hyperlink"/>
                  <w:iCs/>
                  <w:szCs w:val="28"/>
                  <w:lang w:val="en-US"/>
                </w:rPr>
                <w:t xml:space="preserve">Teaching and Learning </w:t>
              </w:r>
              <w:r w:rsidRPr="00D050F1">
                <w:rPr>
                  <w:rStyle w:val="Hyperlink"/>
                  <w:iCs/>
                  <w:szCs w:val="28"/>
                  <w:lang w:val="en-US"/>
                </w:rPr>
                <w:t>Toolkit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540FC071" w:rsidR="00E66558" w:rsidRPr="00D050F1" w:rsidRDefault="531411B3" w:rsidP="00396FA2">
            <w:pPr>
              <w:pStyle w:val="TableRowCentered"/>
              <w:ind w:left="0" w:right="0"/>
              <w:jc w:val="left"/>
              <w:rPr>
                <w:color w:val="auto"/>
                <w:sz w:val="22"/>
                <w:szCs w:val="22"/>
              </w:rPr>
            </w:pPr>
            <w:r w:rsidRPr="00D050F1">
              <w:rPr>
                <w:color w:val="auto"/>
                <w:sz w:val="22"/>
                <w:szCs w:val="22"/>
              </w:rPr>
              <w:t>1</w:t>
            </w:r>
          </w:p>
        </w:tc>
      </w:tr>
      <w:tr w:rsidR="007C7E8C" w:rsidRPr="00D050F1" w14:paraId="5E6A2C3E"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3E243" w14:textId="0F4A6C93" w:rsidR="007C7E8C" w:rsidRPr="00D050F1" w:rsidRDefault="007C7E8C" w:rsidP="007C7E8C">
            <w:pPr>
              <w:autoSpaceDN/>
              <w:spacing w:before="60" w:line="240" w:lineRule="auto"/>
              <w:rPr>
                <w:iCs/>
                <w:color w:val="auto"/>
                <w:lang w:val="en-US"/>
              </w:rPr>
            </w:pPr>
            <w:r w:rsidRPr="008E315D">
              <w:t>Purchase of additional reading resources. Consistent reading pedagogy supported by in-school CPD and coaching. Parental engagement.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2171D" w14:textId="77777777" w:rsidR="007C7E8C" w:rsidRDefault="007C7E8C" w:rsidP="007C7E8C">
            <w:pPr>
              <w:autoSpaceDN/>
              <w:spacing w:before="60" w:after="60" w:line="240" w:lineRule="auto"/>
            </w:pPr>
            <w:r>
              <w:t xml:space="preserve">EEF Literacy Guidance </w:t>
            </w:r>
          </w:p>
          <w:p w14:paraId="1860EC1C" w14:textId="77777777" w:rsidR="007C7E8C" w:rsidRDefault="007C7E8C" w:rsidP="007C7E8C">
            <w:pPr>
              <w:autoSpaceDN/>
              <w:spacing w:before="60" w:after="60" w:line="240" w:lineRule="auto"/>
            </w:pPr>
            <w:r>
              <w:t>Point 1 – Speaking and Listening Improved by developing language Point 2 – Fluent reading through guided and modelled oral reading instruction Point 3 – Teaching comprehension through modelled practice</w:t>
            </w:r>
          </w:p>
          <w:p w14:paraId="5ABC042C" w14:textId="5B3D2745" w:rsidR="007C7E8C" w:rsidRPr="00D050F1" w:rsidRDefault="007C7E8C" w:rsidP="007C7E8C">
            <w:pPr>
              <w:autoSpaceDN/>
              <w:spacing w:before="60" w:after="60" w:line="240" w:lineRule="auto"/>
              <w:rPr>
                <w:rFonts w:cs="Arial"/>
                <w:color w:val="auto"/>
              </w:rPr>
            </w:pPr>
            <w:hyperlink r:id="rId12" w:history="1">
              <w:r>
                <w:rPr>
                  <w:rStyle w:val="Hyperlink"/>
                  <w:rFonts w:cs="Arial"/>
                </w:rPr>
                <w:t>English guidance: key stages 1 and 2</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8F209" w14:textId="06691627" w:rsidR="007C7E8C" w:rsidRPr="00D050F1" w:rsidRDefault="007C7E8C" w:rsidP="007C7E8C">
            <w:pPr>
              <w:pStyle w:val="TableRowCentered"/>
              <w:ind w:left="0" w:right="0"/>
              <w:jc w:val="left"/>
              <w:rPr>
                <w:color w:val="auto"/>
                <w:sz w:val="22"/>
                <w:szCs w:val="22"/>
              </w:rPr>
            </w:pPr>
            <w:r>
              <w:rPr>
                <w:color w:val="auto"/>
                <w:sz w:val="22"/>
                <w:szCs w:val="22"/>
              </w:rPr>
              <w:t>2</w:t>
            </w:r>
          </w:p>
        </w:tc>
      </w:tr>
      <w:tr w:rsidR="00D35EBE" w:rsidRPr="00D050F1" w14:paraId="047042A4"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074F" w14:textId="16BD874F" w:rsidR="005B4A5A" w:rsidRPr="00D050F1" w:rsidRDefault="00B0341C" w:rsidP="00396FA2">
            <w:pPr>
              <w:spacing w:before="60" w:after="120" w:line="240" w:lineRule="auto"/>
              <w:rPr>
                <w:rFonts w:cs="Arial"/>
                <w:color w:val="auto"/>
              </w:rPr>
            </w:pPr>
            <w:r w:rsidRPr="00D050F1">
              <w:rPr>
                <w:color w:val="auto"/>
              </w:rPr>
              <w:t xml:space="preserve">Enhancement </w:t>
            </w:r>
            <w:r w:rsidR="005B4A5A" w:rsidRPr="00D050F1">
              <w:rPr>
                <w:color w:val="auto"/>
              </w:rPr>
              <w:t>of our maths teaching and curriculum planning in line with DfE and EEF guidance.</w:t>
            </w:r>
          </w:p>
          <w:p w14:paraId="6E8F3FDD" w14:textId="281A8040" w:rsidR="00777F13" w:rsidRPr="00D050F1" w:rsidRDefault="009B4127" w:rsidP="00396FA2">
            <w:pPr>
              <w:autoSpaceDN/>
              <w:spacing w:before="60" w:after="120" w:line="240" w:lineRule="auto"/>
              <w:rPr>
                <w:rFonts w:cs="Arial"/>
                <w:iCs/>
                <w:color w:val="auto"/>
              </w:rPr>
            </w:pPr>
            <w:r w:rsidRPr="00D050F1">
              <w:rPr>
                <w:color w:val="auto"/>
              </w:rPr>
              <w:t>We will f</w:t>
            </w:r>
            <w:r w:rsidR="00A966DC" w:rsidRPr="00D050F1">
              <w:rPr>
                <w:color w:val="auto"/>
              </w:rPr>
              <w:t>und</w:t>
            </w:r>
            <w:r w:rsidR="005B4A5A" w:rsidRPr="00D050F1">
              <w:rPr>
                <w:color w:val="auto"/>
              </w:rPr>
              <w:t xml:space="preserve"> teacher release time to embed key </w:t>
            </w:r>
            <w:r w:rsidR="003B2CA2" w:rsidRPr="00D050F1">
              <w:rPr>
                <w:color w:val="auto"/>
              </w:rPr>
              <w:t>element</w:t>
            </w:r>
            <w:r w:rsidR="00323020" w:rsidRPr="00D050F1">
              <w:rPr>
                <w:color w:val="auto"/>
              </w:rPr>
              <w:t>s</w:t>
            </w:r>
            <w:r w:rsidR="005B4A5A" w:rsidRPr="00D050F1">
              <w:rPr>
                <w:color w:val="auto"/>
              </w:rPr>
              <w:t xml:space="preserve"> of guidance in school and</w:t>
            </w:r>
            <w:r w:rsidR="00323020" w:rsidRPr="00D050F1">
              <w:rPr>
                <w:color w:val="auto"/>
              </w:rPr>
              <w:t xml:space="preserve"> to</w:t>
            </w:r>
            <w:r w:rsidR="005B4A5A" w:rsidRPr="00D050F1">
              <w:rPr>
                <w:color w:val="auto"/>
              </w:rPr>
              <w:t xml:space="preserve"> access Maths Hub resources and CPD (including Teaching for Mastery training).</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B8FE" w14:textId="08E047A5" w:rsidR="003F21FD" w:rsidRPr="00D050F1" w:rsidRDefault="003B514F" w:rsidP="00396FA2">
            <w:pPr>
              <w:autoSpaceDN/>
              <w:spacing w:before="60" w:after="60" w:line="240" w:lineRule="auto"/>
              <w:rPr>
                <w:rFonts w:cs="Arial"/>
                <w:iCs/>
                <w:color w:val="auto"/>
              </w:rPr>
            </w:pPr>
            <w:r w:rsidRPr="00D050F1">
              <w:rPr>
                <w:rFonts w:cs="Arial"/>
                <w:iCs/>
                <w:color w:val="auto"/>
              </w:rPr>
              <w:t xml:space="preserve">The </w:t>
            </w:r>
            <w:r w:rsidR="004D025C" w:rsidRPr="00D050F1">
              <w:rPr>
                <w:rFonts w:cs="Arial"/>
                <w:iCs/>
                <w:color w:val="auto"/>
              </w:rPr>
              <w:t xml:space="preserve">DfE </w:t>
            </w:r>
            <w:r w:rsidR="0023765D" w:rsidRPr="00D050F1">
              <w:rPr>
                <w:rFonts w:cs="Arial"/>
                <w:iCs/>
                <w:color w:val="auto"/>
              </w:rPr>
              <w:t>non-statutory</w:t>
            </w:r>
            <w:r w:rsidR="004D025C" w:rsidRPr="00D050F1">
              <w:rPr>
                <w:rFonts w:cs="Arial"/>
                <w:iCs/>
                <w:color w:val="auto"/>
              </w:rPr>
              <w:t xml:space="preserve"> guidance has been produced in conjunction with </w:t>
            </w:r>
            <w:r w:rsidR="0081586E" w:rsidRPr="00D050F1">
              <w:rPr>
                <w:rFonts w:cs="Arial"/>
                <w:iCs/>
                <w:color w:val="auto"/>
              </w:rPr>
              <w:t xml:space="preserve">the National Centre for </w:t>
            </w:r>
            <w:r w:rsidR="00A9674D" w:rsidRPr="00D050F1">
              <w:rPr>
                <w:rFonts w:cs="Arial"/>
                <w:iCs/>
                <w:color w:val="auto"/>
              </w:rPr>
              <w:t xml:space="preserve">Excellence in the </w:t>
            </w:r>
            <w:r w:rsidR="006B5875" w:rsidRPr="00D050F1">
              <w:rPr>
                <w:rFonts w:cs="Arial"/>
                <w:iCs/>
                <w:color w:val="auto"/>
              </w:rPr>
              <w:t>Teaching of Mathematics</w:t>
            </w:r>
            <w:r w:rsidR="002C5C55" w:rsidRPr="00D050F1">
              <w:rPr>
                <w:rFonts w:cs="Arial"/>
                <w:iCs/>
                <w:color w:val="auto"/>
              </w:rPr>
              <w:t>,</w:t>
            </w:r>
            <w:r w:rsidR="00172E82" w:rsidRPr="00D050F1">
              <w:rPr>
                <w:rFonts w:cs="Arial"/>
                <w:iCs/>
                <w:color w:val="auto"/>
              </w:rPr>
              <w:t xml:space="preserve"> </w:t>
            </w:r>
            <w:r w:rsidR="002267E9" w:rsidRPr="00D050F1">
              <w:rPr>
                <w:rFonts w:cs="Arial"/>
                <w:iCs/>
                <w:color w:val="auto"/>
              </w:rPr>
              <w:t>drawing</w:t>
            </w:r>
            <w:r w:rsidR="00172E82" w:rsidRPr="00D050F1">
              <w:rPr>
                <w:rFonts w:cs="Arial"/>
                <w:iCs/>
                <w:color w:val="auto"/>
              </w:rPr>
              <w:t xml:space="preserve"> on </w:t>
            </w:r>
            <w:r w:rsidR="002267E9" w:rsidRPr="00D050F1">
              <w:rPr>
                <w:rFonts w:cs="Arial"/>
                <w:iCs/>
                <w:color w:val="auto"/>
              </w:rPr>
              <w:t>evidence-</w:t>
            </w:r>
            <w:r w:rsidR="00172E82" w:rsidRPr="00D050F1">
              <w:rPr>
                <w:rFonts w:cs="Arial"/>
                <w:iCs/>
                <w:color w:val="auto"/>
              </w:rPr>
              <w:t xml:space="preserve">based </w:t>
            </w:r>
            <w:r w:rsidR="002267E9" w:rsidRPr="00D050F1">
              <w:rPr>
                <w:rFonts w:cs="Arial"/>
                <w:iCs/>
                <w:color w:val="auto"/>
              </w:rPr>
              <w:t>approaches</w:t>
            </w:r>
            <w:r w:rsidR="006B5875" w:rsidRPr="00D050F1">
              <w:rPr>
                <w:rFonts w:cs="Arial"/>
                <w:iCs/>
                <w:color w:val="auto"/>
              </w:rPr>
              <w:t>:</w:t>
            </w:r>
            <w:r w:rsidR="008153E9" w:rsidRPr="00D050F1">
              <w:rPr>
                <w:rFonts w:cs="Arial"/>
                <w:iCs/>
                <w:color w:val="auto"/>
              </w:rPr>
              <w:t xml:space="preserve"> </w:t>
            </w:r>
          </w:p>
          <w:p w14:paraId="38F5887A" w14:textId="30B86165" w:rsidR="00FC0184" w:rsidRPr="00D050F1" w:rsidRDefault="003E3A10" w:rsidP="00396FA2">
            <w:pPr>
              <w:pStyle w:val="TableRowCentered"/>
              <w:spacing w:after="120"/>
              <w:ind w:left="0" w:right="0"/>
              <w:jc w:val="left"/>
              <w:rPr>
                <w:rStyle w:val="Hyperlink"/>
                <w:szCs w:val="28"/>
                <w:lang w:val="en-US"/>
              </w:rPr>
            </w:pPr>
            <w:hyperlink r:id="rId13" w:history="1">
              <w:r w:rsidRPr="0005639B">
                <w:rPr>
                  <w:rStyle w:val="Hyperlink"/>
                  <w:iCs/>
                  <w:szCs w:val="28"/>
                  <w:lang w:val="en-US"/>
                </w:rPr>
                <w:t>Math</w:t>
              </w:r>
              <w:r w:rsidR="00EA3041" w:rsidRPr="0005639B">
                <w:rPr>
                  <w:rStyle w:val="Hyperlink"/>
                  <w:iCs/>
                  <w:szCs w:val="28"/>
                  <w:lang w:val="en-US"/>
                </w:rPr>
                <w:t>ematic</w:t>
              </w:r>
              <w:r w:rsidRPr="0005639B">
                <w:rPr>
                  <w:rStyle w:val="Hyperlink"/>
                  <w:iCs/>
                  <w:szCs w:val="28"/>
                  <w:lang w:val="en-US"/>
                </w:rPr>
                <w:t>s_guidance</w:t>
              </w:r>
              <w:r w:rsidR="00EA3041" w:rsidRPr="0005639B">
                <w:rPr>
                  <w:rStyle w:val="Hyperlink"/>
                  <w:iCs/>
                  <w:szCs w:val="28"/>
                  <w:lang w:val="en-US"/>
                </w:rPr>
                <w:t>:</w:t>
              </w:r>
              <w:r w:rsidR="009578C1" w:rsidRPr="0005639B">
                <w:rPr>
                  <w:rStyle w:val="Hyperlink"/>
                  <w:iCs/>
                  <w:szCs w:val="28"/>
                  <w:lang w:val="en-US"/>
                </w:rPr>
                <w:t xml:space="preserve"> </w:t>
              </w:r>
              <w:r w:rsidR="002B1ACD" w:rsidRPr="0005639B">
                <w:rPr>
                  <w:rStyle w:val="Hyperlink"/>
                  <w:iCs/>
                  <w:szCs w:val="28"/>
                  <w:lang w:val="en-US"/>
                </w:rPr>
                <w:t>k</w:t>
              </w:r>
              <w:r w:rsidR="009578C1" w:rsidRPr="0005639B">
                <w:rPr>
                  <w:rStyle w:val="Hyperlink"/>
                  <w:iCs/>
                  <w:szCs w:val="28"/>
                  <w:lang w:val="en-US"/>
                </w:rPr>
                <w:t>ey stages 1</w:t>
              </w:r>
              <w:r w:rsidRPr="0005639B">
                <w:rPr>
                  <w:rStyle w:val="Hyperlink"/>
                  <w:iCs/>
                  <w:szCs w:val="28"/>
                  <w:lang w:val="en-US"/>
                </w:rPr>
                <w:t>_and</w:t>
              </w:r>
              <w:r w:rsidR="009578C1" w:rsidRPr="0005639B">
                <w:rPr>
                  <w:rStyle w:val="Hyperlink"/>
                  <w:iCs/>
                  <w:szCs w:val="28"/>
                  <w:lang w:val="en-US"/>
                </w:rPr>
                <w:t xml:space="preserve"> </w:t>
              </w:r>
              <w:r w:rsidRPr="0005639B">
                <w:rPr>
                  <w:rStyle w:val="Hyperlink"/>
                  <w:iCs/>
                  <w:szCs w:val="28"/>
                  <w:lang w:val="en-US"/>
                </w:rPr>
                <w:t>2</w:t>
              </w:r>
            </w:hyperlink>
          </w:p>
          <w:p w14:paraId="3E93BD35" w14:textId="77777777" w:rsidR="00FB5EA9" w:rsidRPr="00D050F1" w:rsidRDefault="006B5875" w:rsidP="00396FA2">
            <w:pPr>
              <w:autoSpaceDN/>
              <w:spacing w:before="120" w:after="60" w:line="240" w:lineRule="auto"/>
              <w:rPr>
                <w:rFonts w:cs="Arial"/>
                <w:color w:val="auto"/>
              </w:rPr>
            </w:pPr>
            <w:r w:rsidRPr="00D050F1">
              <w:rPr>
                <w:rFonts w:cs="Arial"/>
                <w:color w:val="auto"/>
              </w:rPr>
              <w:t xml:space="preserve">The EEF guidance is based on a range of the best available evidence: </w:t>
            </w:r>
          </w:p>
          <w:p w14:paraId="0892004B" w14:textId="7ADD0B92" w:rsidR="006B5875" w:rsidRPr="00D050F1" w:rsidRDefault="006B5875" w:rsidP="00396FA2">
            <w:pPr>
              <w:pStyle w:val="TableRowCentered"/>
              <w:spacing w:after="120"/>
              <w:ind w:left="0" w:right="0"/>
              <w:jc w:val="left"/>
              <w:rPr>
                <w:rFonts w:cs="Arial"/>
                <w:color w:val="auto"/>
                <w:u w:val="single"/>
              </w:rPr>
            </w:pPr>
            <w:hyperlink r:id="rId14" w:history="1">
              <w:r w:rsidRPr="0005639B">
                <w:rPr>
                  <w:rStyle w:val="Hyperlink"/>
                  <w:iCs/>
                  <w:szCs w:val="28"/>
                  <w:lang w:val="en-US"/>
                </w:rPr>
                <w:t>Improving Mathematics in Key Stages 2 and 3</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1EC39" w14:textId="5E043EAB" w:rsidR="00D35EBE" w:rsidRPr="00D050F1" w:rsidRDefault="0077187E" w:rsidP="00396FA2">
            <w:pPr>
              <w:pStyle w:val="TableRowCentered"/>
              <w:ind w:left="0" w:right="0"/>
              <w:jc w:val="left"/>
              <w:rPr>
                <w:color w:val="auto"/>
                <w:szCs w:val="24"/>
              </w:rPr>
            </w:pPr>
            <w:r w:rsidRPr="00D050F1">
              <w:rPr>
                <w:color w:val="auto"/>
                <w:szCs w:val="24"/>
              </w:rPr>
              <w:lastRenderedPageBreak/>
              <w:t>3</w:t>
            </w:r>
          </w:p>
        </w:tc>
      </w:tr>
      <w:tr w:rsidR="0015621F" w:rsidRPr="00D050F1" w14:paraId="2C76C953"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787E1" w14:textId="2103EDC5" w:rsidR="00D8456D" w:rsidRPr="00D050F1" w:rsidRDefault="00B9686E" w:rsidP="00396FA2">
            <w:pPr>
              <w:autoSpaceDN/>
              <w:spacing w:before="60" w:after="0" w:line="240" w:lineRule="auto"/>
              <w:rPr>
                <w:rFonts w:cs="Arial"/>
                <w:iCs/>
                <w:color w:val="auto"/>
                <w:lang w:val="en-US" w:eastAsia="en-US"/>
              </w:rPr>
            </w:pPr>
            <w:r w:rsidRPr="00D050F1">
              <w:rPr>
                <w:rFonts w:cs="Arial"/>
                <w:iCs/>
                <w:color w:val="auto"/>
                <w:lang w:val="en-US" w:eastAsia="en-US"/>
              </w:rPr>
              <w:t>Improve the quality of social and emotional (SEL) learning.</w:t>
            </w:r>
          </w:p>
          <w:p w14:paraId="7FEACF77" w14:textId="77777777" w:rsidR="00B9686E" w:rsidRPr="00D050F1" w:rsidRDefault="00B9686E" w:rsidP="00396FA2">
            <w:pPr>
              <w:autoSpaceDN/>
              <w:spacing w:after="0" w:line="240" w:lineRule="auto"/>
              <w:rPr>
                <w:rFonts w:cs="Arial"/>
                <w:iCs/>
                <w:color w:val="auto"/>
                <w:lang w:val="en-US" w:eastAsia="en-US"/>
              </w:rPr>
            </w:pPr>
          </w:p>
          <w:p w14:paraId="2A7AB488" w14:textId="4D7D3DC5" w:rsidR="00E64605" w:rsidRPr="00D050F1" w:rsidRDefault="00E93BAA" w:rsidP="00396FA2">
            <w:pPr>
              <w:autoSpaceDN/>
              <w:spacing w:line="240" w:lineRule="auto"/>
              <w:rPr>
                <w:rFonts w:cs="Arial"/>
                <w:iCs/>
                <w:color w:val="auto"/>
                <w:lang w:val="en-US" w:eastAsia="en-US"/>
              </w:rPr>
            </w:pPr>
            <w:r w:rsidRPr="00D050F1">
              <w:rPr>
                <w:rFonts w:cs="Arial"/>
                <w:iCs/>
                <w:color w:val="auto"/>
                <w:lang w:val="en-US" w:eastAsia="en-US"/>
              </w:rPr>
              <w:t>SEL approaches will be embedded</w:t>
            </w:r>
            <w:r w:rsidR="009B7A21" w:rsidRPr="00D050F1">
              <w:rPr>
                <w:rFonts w:cs="Arial"/>
                <w:iCs/>
                <w:color w:val="auto"/>
                <w:lang w:val="en-US" w:eastAsia="en-US"/>
              </w:rPr>
              <w:t xml:space="preserve"> into routine educational practices and supported by professional development and training for staff.</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96080" w14:textId="72DE3A29" w:rsidR="00704439" w:rsidRPr="00D050F1" w:rsidRDefault="00704439" w:rsidP="00396FA2">
            <w:pPr>
              <w:pStyle w:val="TableRowCentered"/>
              <w:ind w:left="0" w:right="0"/>
              <w:jc w:val="left"/>
              <w:rPr>
                <w:rFonts w:cs="Arial"/>
                <w:color w:val="auto"/>
                <w:szCs w:val="24"/>
              </w:rPr>
            </w:pPr>
            <w:r w:rsidRPr="00D050F1">
              <w:rPr>
                <w:rFonts w:cs="Arial"/>
                <w:color w:val="auto"/>
                <w:szCs w:val="24"/>
              </w:rPr>
              <w:t>There is extensive evidence associating childhood social and emotional skills with improved outcomes at school and in later life (</w:t>
            </w:r>
            <w:r w:rsidR="00152206" w:rsidRPr="00D050F1">
              <w:rPr>
                <w:rFonts w:cs="Arial"/>
                <w:color w:val="auto"/>
                <w:szCs w:val="24"/>
              </w:rPr>
              <w:t>e.g.,</w:t>
            </w:r>
            <w:r w:rsidRPr="00D050F1">
              <w:rPr>
                <w:rFonts w:cs="Arial"/>
                <w:color w:val="auto"/>
                <w:szCs w:val="24"/>
              </w:rPr>
              <w:t xml:space="preserve"> improved academic performance, attitudes, behaviour and relationships</w:t>
            </w:r>
            <w:r w:rsidR="008A4B93" w:rsidRPr="00D050F1">
              <w:rPr>
                <w:rFonts w:cs="Arial"/>
                <w:color w:val="auto"/>
                <w:szCs w:val="24"/>
              </w:rPr>
              <w:t xml:space="preserve"> with peers</w:t>
            </w:r>
            <w:r w:rsidR="0048228B" w:rsidRPr="00D050F1">
              <w:rPr>
                <w:rFonts w:cs="Arial"/>
                <w:color w:val="auto"/>
                <w:szCs w:val="24"/>
              </w:rPr>
              <w:t>)</w:t>
            </w:r>
            <w:r w:rsidR="0016406A" w:rsidRPr="00D050F1">
              <w:rPr>
                <w:rFonts w:cs="Arial"/>
                <w:color w:val="auto"/>
                <w:szCs w:val="24"/>
              </w:rPr>
              <w:t>:</w:t>
            </w:r>
          </w:p>
          <w:p w14:paraId="406C7DAD" w14:textId="7DE6E6C7" w:rsidR="004F3914" w:rsidRPr="00D050F1" w:rsidRDefault="00357157" w:rsidP="00396FA2">
            <w:pPr>
              <w:pStyle w:val="TableRowCentered"/>
              <w:spacing w:after="120"/>
              <w:ind w:left="0" w:right="0"/>
              <w:jc w:val="left"/>
              <w:rPr>
                <w:color w:val="auto"/>
                <w:szCs w:val="24"/>
              </w:rPr>
            </w:pPr>
            <w:hyperlink r:id="rId15" w:history="1">
              <w:r w:rsidRPr="0005639B">
                <w:rPr>
                  <w:rStyle w:val="Hyperlink"/>
                  <w:iCs/>
                  <w:szCs w:val="28"/>
                  <w:lang w:val="en-US"/>
                </w:rPr>
                <w:t>Improving</w:t>
              </w:r>
              <w:r w:rsidR="0016406A" w:rsidRPr="0005639B">
                <w:rPr>
                  <w:rStyle w:val="Hyperlink"/>
                  <w:iCs/>
                  <w:szCs w:val="28"/>
                  <w:lang w:val="en-US"/>
                </w:rPr>
                <w:t>_Social_and_Emotional</w:t>
              </w:r>
              <w:r w:rsidR="00A54770" w:rsidRPr="0005639B">
                <w:rPr>
                  <w:rStyle w:val="Hyperlink"/>
                  <w:iCs/>
                  <w:szCs w:val="28"/>
                  <w:lang w:val="en-US"/>
                </w:rPr>
                <w:t>_ Learning</w:t>
              </w:r>
            </w:hyperlink>
            <w:r w:rsidRPr="0005639B">
              <w:rPr>
                <w:rStyle w:val="Hyperlink"/>
                <w:iCs/>
                <w:szCs w:val="28"/>
                <w:lang w:val="en-US"/>
              </w:rPr>
              <w:t xml:space="preserve"> in </w:t>
            </w:r>
            <w:r w:rsidR="00945583" w:rsidRPr="0005639B">
              <w:rPr>
                <w:rStyle w:val="Hyperlink"/>
                <w:iCs/>
                <w:szCs w:val="28"/>
                <w:lang w:val="en-US"/>
              </w:rPr>
              <w:t>P</w:t>
            </w:r>
            <w:r w:rsidRPr="0005639B">
              <w:rPr>
                <w:rStyle w:val="Hyperlink"/>
                <w:iCs/>
                <w:szCs w:val="28"/>
                <w:lang w:val="en-US"/>
              </w:rPr>
              <w:t xml:space="preserve">rimary </w:t>
            </w:r>
            <w:r w:rsidR="00945583" w:rsidRPr="0005639B">
              <w:rPr>
                <w:rStyle w:val="Hyperlink"/>
                <w:iCs/>
                <w:szCs w:val="28"/>
                <w:lang w:val="en-US"/>
              </w:rPr>
              <w:t>S</w:t>
            </w:r>
            <w:r w:rsidRPr="0005639B">
              <w:rPr>
                <w:rStyle w:val="Hyperlink"/>
                <w:iCs/>
                <w:szCs w:val="28"/>
                <w:lang w:val="en-US"/>
              </w:rPr>
              <w:t xml:space="preserve">chools </w:t>
            </w:r>
            <w:r w:rsidR="00604754" w:rsidRPr="0005639B">
              <w:rPr>
                <w:rStyle w:val="Hyperlink"/>
                <w:iCs/>
                <w:szCs w:val="28"/>
                <w:lang w:val="en-US"/>
              </w:rPr>
              <w:t xml:space="preserve">| </w:t>
            </w:r>
            <w:r w:rsidRPr="0005639B">
              <w:rPr>
                <w:rStyle w:val="Hyperlink"/>
                <w:iCs/>
                <w:szCs w:val="28"/>
                <w:lang w:val="en-US"/>
              </w:rPr>
              <w:t>EEF</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E3F80" w14:textId="688B9F35" w:rsidR="0015621F" w:rsidRPr="0005639B" w:rsidRDefault="00065BAE" w:rsidP="00396FA2">
            <w:pPr>
              <w:pStyle w:val="TableRowCentered"/>
              <w:ind w:left="0" w:right="0"/>
              <w:jc w:val="left"/>
              <w:rPr>
                <w:color w:val="auto"/>
                <w:szCs w:val="24"/>
              </w:rPr>
            </w:pPr>
            <w:r w:rsidRPr="00D050F1">
              <w:rPr>
                <w:color w:val="auto"/>
                <w:szCs w:val="24"/>
              </w:rPr>
              <w:t>4</w:t>
            </w:r>
          </w:p>
        </w:tc>
      </w:tr>
      <w:tr w:rsidR="001A2FC9" w:rsidRPr="00D050F1" w14:paraId="26064FF8"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8F910" w14:textId="7103389C" w:rsidR="001A2FC9" w:rsidRPr="00D050F1" w:rsidRDefault="001A2FC9" w:rsidP="00396FA2">
            <w:pPr>
              <w:autoSpaceDN/>
              <w:spacing w:before="60" w:after="0" w:line="240" w:lineRule="auto"/>
              <w:rPr>
                <w:rFonts w:cs="Arial"/>
                <w:iCs/>
                <w:color w:val="auto"/>
                <w:lang w:val="en-US" w:eastAsia="en-US"/>
              </w:rPr>
            </w:pPr>
            <w:r>
              <w:t>Contribution towards TA’s across school to complement catch-up.</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0ACED" w14:textId="77777777" w:rsidR="001A2FC9" w:rsidRDefault="001A2FC9" w:rsidP="00396FA2">
            <w:pPr>
              <w:pStyle w:val="TableRowCentered"/>
              <w:ind w:left="0" w:right="0"/>
              <w:jc w:val="left"/>
            </w:pPr>
            <w:r>
              <w:t xml:space="preserve">Small group interventions led by specially trained support staff demonstrate acceleration in progress as recommended by the EEF. </w:t>
            </w:r>
          </w:p>
          <w:p w14:paraId="1A670AAA" w14:textId="249D1FAC" w:rsidR="001A2FC9" w:rsidRDefault="001A2FC9" w:rsidP="00396FA2">
            <w:pPr>
              <w:pStyle w:val="TableRowCentered"/>
              <w:ind w:left="0" w:right="0"/>
              <w:jc w:val="left"/>
            </w:pPr>
            <w:hyperlink r:id="rId16" w:history="1">
              <w:r>
                <w:rPr>
                  <w:rStyle w:val="Hyperlink"/>
                </w:rPr>
                <w:t>Teaching Assistant Interventions</w:t>
              </w:r>
            </w:hyperlink>
            <w:r>
              <w:t xml:space="preserve"> </w:t>
            </w:r>
          </w:p>
          <w:p w14:paraId="2287C716" w14:textId="0626D286" w:rsidR="001A2FC9" w:rsidRPr="00D050F1" w:rsidRDefault="001A2FC9" w:rsidP="00396FA2">
            <w:pPr>
              <w:pStyle w:val="TableRowCentered"/>
              <w:ind w:left="0" w:right="0"/>
              <w:jc w:val="left"/>
              <w:rPr>
                <w:rFonts w:cs="Arial"/>
                <w:color w:val="auto"/>
                <w:szCs w:val="24"/>
              </w:rPr>
            </w:pPr>
            <w:r>
              <w:t>Research has shown that TAs who are sufficiently trained and used correctly within the classroom – for example, as a supplement to teachers and not a replacement – can have a positive impact on pupil engagement and attainment. (Deployment of TAs in Schools, DfE: 2019)</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D5C9A" w14:textId="43A9D0DB" w:rsidR="001A2FC9" w:rsidRPr="00D050F1" w:rsidRDefault="001A2FC9" w:rsidP="00396FA2">
            <w:pPr>
              <w:pStyle w:val="TableRowCentered"/>
              <w:ind w:left="0" w:right="0"/>
              <w:jc w:val="left"/>
              <w:rPr>
                <w:color w:val="auto"/>
                <w:szCs w:val="24"/>
              </w:rPr>
            </w:pPr>
            <w:r>
              <w:rPr>
                <w:color w:val="auto"/>
                <w:szCs w:val="24"/>
              </w:rPr>
              <w:t>1, 2, 3 &amp; 4</w:t>
            </w:r>
          </w:p>
        </w:tc>
      </w:tr>
    </w:tbl>
    <w:p w14:paraId="2A7D5523" w14:textId="1DC08891" w:rsidR="00E66558" w:rsidRPr="00D050F1" w:rsidRDefault="009D71E8" w:rsidP="0066364C">
      <w:pPr>
        <w:pStyle w:val="Heading3"/>
      </w:pPr>
      <w:r w:rsidRPr="00D050F1">
        <w:t xml:space="preserve">Targeted academic support (for example, </w:t>
      </w:r>
      <w:r w:rsidR="00D33FE5" w:rsidRPr="00D050F1">
        <w:t xml:space="preserve">tutoring, one-to-one support </w:t>
      </w:r>
      <w:r w:rsidRPr="00D050F1">
        <w:t xml:space="preserve">structured interventions) </w:t>
      </w:r>
    </w:p>
    <w:p w14:paraId="2A7D5524" w14:textId="1D4771D1" w:rsidR="00E66558" w:rsidRPr="00D050F1" w:rsidRDefault="009D71E8" w:rsidP="0072129C">
      <w:r w:rsidRPr="00D050F1">
        <w:t xml:space="preserve">Budgeted cost: </w:t>
      </w:r>
      <w:r w:rsidRPr="00D050F1">
        <w:rPr>
          <w:b/>
          <w:bCs/>
          <w:color w:val="auto"/>
        </w:rPr>
        <w:t>£</w:t>
      </w:r>
      <w:r w:rsidR="000770C3">
        <w:rPr>
          <w:b/>
          <w:bCs/>
          <w:color w:val="auto"/>
        </w:rPr>
        <w:t>1</w:t>
      </w:r>
      <w:r w:rsidR="00B763C3">
        <w:rPr>
          <w:b/>
          <w:bCs/>
          <w:color w:val="auto"/>
        </w:rPr>
        <w:t>0906</w:t>
      </w:r>
    </w:p>
    <w:tbl>
      <w:tblPr>
        <w:tblW w:w="5000" w:type="pct"/>
        <w:tblLayout w:type="fixed"/>
        <w:tblCellMar>
          <w:left w:w="10" w:type="dxa"/>
          <w:right w:w="10" w:type="dxa"/>
        </w:tblCellMar>
        <w:tblLook w:val="04A0" w:firstRow="1" w:lastRow="0" w:firstColumn="1" w:lastColumn="0" w:noHBand="0" w:noVBand="1"/>
      </w:tblPr>
      <w:tblGrid>
        <w:gridCol w:w="3681"/>
        <w:gridCol w:w="4263"/>
        <w:gridCol w:w="1542"/>
      </w:tblGrid>
      <w:tr w:rsidR="00E66558" w:rsidRPr="00D050F1" w14:paraId="2A7D5528"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Pr="00D050F1" w:rsidRDefault="009D71E8" w:rsidP="00396FA2">
            <w:pPr>
              <w:pStyle w:val="TableHeader"/>
              <w:ind w:left="0" w:right="0"/>
              <w:jc w:val="left"/>
            </w:pPr>
            <w:r w:rsidRPr="00D050F1">
              <w:t>Activity</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Pr="00D050F1" w:rsidRDefault="009D71E8" w:rsidP="00396FA2">
            <w:pPr>
              <w:pStyle w:val="TableHeader"/>
              <w:ind w:left="0" w:right="0"/>
              <w:jc w:val="left"/>
            </w:pPr>
            <w:r w:rsidRPr="00D050F1">
              <w:t>Evidence that supports this approach</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Pr="00D050F1" w:rsidRDefault="009D71E8" w:rsidP="00396FA2">
            <w:pPr>
              <w:pStyle w:val="TableHeader"/>
              <w:ind w:left="0" w:right="0"/>
              <w:jc w:val="left"/>
            </w:pPr>
            <w:r w:rsidRPr="00D050F1">
              <w:t>Challenge number(s) addressed</w:t>
            </w:r>
          </w:p>
        </w:tc>
      </w:tr>
      <w:tr w:rsidR="001E76B0" w:rsidRPr="00D050F1" w14:paraId="2A7D552C"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7A665" w14:textId="143C7557" w:rsidR="00991A05" w:rsidRPr="00D050F1" w:rsidRDefault="001A2FC9" w:rsidP="00396FA2">
            <w:pPr>
              <w:pStyle w:val="TableRow"/>
              <w:spacing w:after="120"/>
              <w:ind w:left="0" w:right="0"/>
              <w:rPr>
                <w:rFonts w:cs="Arial"/>
                <w:iCs/>
                <w:color w:val="auto"/>
                <w:lang w:val="en-US"/>
              </w:rPr>
            </w:pPr>
            <w:r>
              <w:rPr>
                <w:rFonts w:cs="Arial"/>
                <w:iCs/>
                <w:color w:val="auto"/>
                <w:lang w:val="en-US"/>
              </w:rPr>
              <w:t>Small</w:t>
            </w:r>
            <w:r w:rsidR="00991A05" w:rsidRPr="00D050F1">
              <w:rPr>
                <w:rFonts w:cs="Arial"/>
                <w:iCs/>
                <w:color w:val="auto"/>
                <w:lang w:val="en-US"/>
              </w:rPr>
              <w:t xml:space="preserve"> group tuition for pupils in need of additional support, delivered in addition to, and linked with, normal lessons. </w:t>
            </w:r>
          </w:p>
          <w:p w14:paraId="2A7D5529" w14:textId="6E6E4892" w:rsidR="00BD1EBB" w:rsidRPr="00D050F1" w:rsidRDefault="00BD1EBB" w:rsidP="00396FA2">
            <w:pPr>
              <w:pStyle w:val="TableRow"/>
              <w:spacing w:after="120"/>
              <w:ind w:left="0" w:right="0"/>
              <w:rPr>
                <w:rFonts w:cs="Arial"/>
                <w:iCs/>
                <w:color w:val="auto"/>
                <w:lang w:val="en-US"/>
              </w:rPr>
            </w:pP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C55F7" w14:textId="5C47625F" w:rsidR="008D2045" w:rsidRPr="00D050F1" w:rsidRDefault="001A2FC9" w:rsidP="00396FA2">
            <w:pPr>
              <w:autoSpaceDN/>
              <w:spacing w:before="60" w:after="60" w:line="240" w:lineRule="auto"/>
              <w:rPr>
                <w:color w:val="auto"/>
              </w:rPr>
            </w:pPr>
            <w:r>
              <w:rPr>
                <w:color w:val="auto"/>
              </w:rPr>
              <w:t>Support</w:t>
            </w:r>
            <w:r w:rsidR="008D2045" w:rsidRPr="00D050F1">
              <w:rPr>
                <w:color w:val="auto"/>
              </w:rPr>
              <w:t xml:space="preserve"> targeted at specific needs and knowledge gaps can be an effective method to support low attaining pupils or those falling behind</w:t>
            </w:r>
            <w:r w:rsidR="00DB76BA" w:rsidRPr="00D050F1">
              <w:rPr>
                <w:color w:val="auto"/>
              </w:rPr>
              <w:t>:</w:t>
            </w:r>
            <w:r w:rsidR="00A3534B" w:rsidRPr="00D050F1">
              <w:rPr>
                <w:color w:val="auto"/>
              </w:rPr>
              <w:t xml:space="preserve"> </w:t>
            </w:r>
          </w:p>
          <w:p w14:paraId="2A7D552A" w14:textId="1C19033B" w:rsidR="009D2E96" w:rsidRPr="00991A05" w:rsidRDefault="007C23A4" w:rsidP="00396FA2">
            <w:pPr>
              <w:pStyle w:val="TableRowCentered"/>
              <w:spacing w:after="120"/>
              <w:ind w:left="0" w:right="0"/>
              <w:jc w:val="left"/>
              <w:rPr>
                <w:iCs/>
                <w:color w:val="0000FF"/>
                <w:szCs w:val="28"/>
                <w:u w:val="single"/>
                <w:lang w:val="en-US"/>
              </w:rPr>
            </w:pPr>
            <w:hyperlink r:id="rId17" w:history="1">
              <w:r w:rsidRPr="00EA097A">
                <w:rPr>
                  <w:rStyle w:val="Hyperlink"/>
                </w:rPr>
                <w:t>Small group tuition | Teaching and Learning Toolkit | EEF</w:t>
              </w:r>
            </w:hyperlink>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6EA9DCCF" w:rsidR="001E76B0" w:rsidRPr="00D050F1" w:rsidRDefault="0090344E" w:rsidP="00396FA2">
            <w:pPr>
              <w:pStyle w:val="TableRowCentered"/>
              <w:ind w:left="0" w:right="0"/>
              <w:jc w:val="left"/>
              <w:rPr>
                <w:color w:val="auto"/>
                <w:szCs w:val="22"/>
              </w:rPr>
            </w:pPr>
            <w:r w:rsidRPr="00D050F1">
              <w:rPr>
                <w:color w:val="auto"/>
                <w:szCs w:val="22"/>
              </w:rPr>
              <w:t xml:space="preserve">1, 2, 3 </w:t>
            </w:r>
          </w:p>
        </w:tc>
      </w:tr>
      <w:tr w:rsidR="00B8060C" w:rsidRPr="00D050F1" w14:paraId="5DBDFA5D"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A16D0" w14:textId="3995CF39" w:rsidR="00B8060C" w:rsidRPr="00D050F1" w:rsidRDefault="008A32B1" w:rsidP="00396FA2">
            <w:pPr>
              <w:pStyle w:val="TableRow"/>
              <w:ind w:left="0" w:right="0"/>
              <w:rPr>
                <w:rFonts w:cs="Arial"/>
                <w:color w:val="auto"/>
              </w:rPr>
            </w:pPr>
            <w:r w:rsidRPr="00D050F1">
              <w:rPr>
                <w:rFonts w:cs="Arial"/>
                <w:color w:val="auto"/>
              </w:rPr>
              <w:t xml:space="preserve">Additional phonics sessions </w:t>
            </w:r>
            <w:r w:rsidR="00371722" w:rsidRPr="00D050F1">
              <w:rPr>
                <w:rFonts w:cs="Arial"/>
                <w:color w:val="auto"/>
              </w:rPr>
              <w:t xml:space="preserve">targeted </w:t>
            </w:r>
            <w:r w:rsidR="00C02423" w:rsidRPr="00D050F1">
              <w:rPr>
                <w:rFonts w:cs="Arial"/>
                <w:color w:val="auto"/>
              </w:rPr>
              <w:t xml:space="preserve">at </w:t>
            </w:r>
            <w:r w:rsidR="000C3954" w:rsidRPr="00D050F1">
              <w:rPr>
                <w:rFonts w:cs="Arial"/>
                <w:color w:val="auto"/>
              </w:rPr>
              <w:t xml:space="preserve">disadvantaged </w:t>
            </w:r>
            <w:r w:rsidR="00C02423" w:rsidRPr="00D050F1">
              <w:rPr>
                <w:rFonts w:cs="Arial"/>
                <w:color w:val="auto"/>
              </w:rPr>
              <w:t>pupils</w:t>
            </w:r>
            <w:r w:rsidR="000D277F" w:rsidRPr="00D050F1">
              <w:rPr>
                <w:rFonts w:cs="Arial"/>
                <w:color w:val="auto"/>
              </w:rPr>
              <w:t xml:space="preserve"> who require </w:t>
            </w:r>
            <w:r w:rsidR="00533266" w:rsidRPr="00D050F1">
              <w:rPr>
                <w:rFonts w:cs="Arial"/>
                <w:color w:val="auto"/>
              </w:rPr>
              <w:t>further</w:t>
            </w:r>
            <w:r w:rsidR="000D277F" w:rsidRPr="00D050F1">
              <w:rPr>
                <w:rFonts w:cs="Arial"/>
                <w:color w:val="auto"/>
              </w:rPr>
              <w:t xml:space="preserve"> </w:t>
            </w:r>
            <w:r w:rsidR="003E1815" w:rsidRPr="00D050F1">
              <w:rPr>
                <w:rFonts w:cs="Arial"/>
                <w:color w:val="auto"/>
              </w:rPr>
              <w:t xml:space="preserve">phonics </w:t>
            </w:r>
            <w:r w:rsidR="000D277F" w:rsidRPr="00D050F1">
              <w:rPr>
                <w:rFonts w:cs="Arial"/>
                <w:color w:val="auto"/>
              </w:rPr>
              <w:t>support.</w:t>
            </w:r>
            <w:r w:rsidR="007B46F8" w:rsidRPr="00D050F1">
              <w:rPr>
                <w:rFonts w:cs="Arial"/>
                <w:color w:val="auto"/>
              </w:rPr>
              <w:t xml:space="preserve">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C2CC4" w14:textId="59728F2A" w:rsidR="00C571A9" w:rsidRPr="00D050F1" w:rsidRDefault="00A31660" w:rsidP="00396FA2">
            <w:pPr>
              <w:pStyle w:val="TableRowCentered"/>
              <w:ind w:left="0" w:right="0"/>
              <w:jc w:val="left"/>
              <w:rPr>
                <w:rFonts w:cs="Arial"/>
                <w:color w:val="auto"/>
                <w:szCs w:val="24"/>
              </w:rPr>
            </w:pPr>
            <w:r w:rsidRPr="00D050F1">
              <w:rPr>
                <w:rFonts w:cs="Arial"/>
                <w:color w:val="auto"/>
                <w:szCs w:val="24"/>
              </w:rPr>
              <w:t xml:space="preserve">Phonics approaches </w:t>
            </w:r>
            <w:r w:rsidR="00D33EA0" w:rsidRPr="00D050F1">
              <w:rPr>
                <w:rFonts w:cs="Arial"/>
                <w:color w:val="auto"/>
                <w:szCs w:val="24"/>
              </w:rPr>
              <w:t xml:space="preserve">have a strong evidence base </w:t>
            </w:r>
            <w:r w:rsidR="00762441" w:rsidRPr="00D050F1">
              <w:rPr>
                <w:rFonts w:cs="Arial"/>
                <w:color w:val="auto"/>
                <w:szCs w:val="24"/>
              </w:rPr>
              <w:t>indicating</w:t>
            </w:r>
            <w:r w:rsidR="00D33EA0" w:rsidRPr="00D050F1">
              <w:rPr>
                <w:rFonts w:cs="Arial"/>
                <w:color w:val="auto"/>
                <w:szCs w:val="24"/>
              </w:rPr>
              <w:t xml:space="preserve"> a positive impact on pupils</w:t>
            </w:r>
            <w:r w:rsidR="00ED20CC" w:rsidRPr="00D050F1">
              <w:rPr>
                <w:rFonts w:cs="Arial"/>
                <w:color w:val="auto"/>
                <w:szCs w:val="24"/>
              </w:rPr>
              <w:t>, particularly</w:t>
            </w:r>
            <w:r w:rsidR="005C5549" w:rsidRPr="00D050F1">
              <w:rPr>
                <w:rFonts w:cs="Arial"/>
                <w:color w:val="auto"/>
                <w:szCs w:val="24"/>
              </w:rPr>
              <w:t xml:space="preserve"> from</w:t>
            </w:r>
            <w:r w:rsidR="00ED20CC" w:rsidRPr="00D050F1">
              <w:rPr>
                <w:rFonts w:cs="Arial"/>
                <w:color w:val="auto"/>
                <w:szCs w:val="24"/>
              </w:rPr>
              <w:t xml:space="preserve"> disadvantaged </w:t>
            </w:r>
            <w:r w:rsidR="005C5549" w:rsidRPr="00D050F1">
              <w:rPr>
                <w:rFonts w:cs="Arial"/>
                <w:color w:val="auto"/>
                <w:szCs w:val="24"/>
              </w:rPr>
              <w:t>backgrounds</w:t>
            </w:r>
            <w:r w:rsidR="00ED20CC" w:rsidRPr="00D050F1">
              <w:rPr>
                <w:rFonts w:cs="Arial"/>
                <w:color w:val="auto"/>
                <w:szCs w:val="24"/>
              </w:rPr>
              <w:t>.</w:t>
            </w:r>
            <w:r w:rsidR="00B266BB" w:rsidRPr="00D050F1">
              <w:rPr>
                <w:rFonts w:cs="Arial"/>
                <w:color w:val="auto"/>
                <w:szCs w:val="24"/>
              </w:rPr>
              <w:t xml:space="preserve"> T</w:t>
            </w:r>
            <w:r w:rsidR="00C571A9" w:rsidRPr="00D050F1">
              <w:rPr>
                <w:rFonts w:cs="Arial"/>
                <w:color w:val="auto"/>
                <w:szCs w:val="24"/>
              </w:rPr>
              <w:t xml:space="preserve">argeted </w:t>
            </w:r>
            <w:r w:rsidR="00B266BB" w:rsidRPr="00D050F1">
              <w:rPr>
                <w:rFonts w:cs="Arial"/>
                <w:color w:val="auto"/>
                <w:szCs w:val="24"/>
              </w:rPr>
              <w:t xml:space="preserve">phonics interventions </w:t>
            </w:r>
            <w:r w:rsidR="00C571A9" w:rsidRPr="00D050F1">
              <w:rPr>
                <w:rFonts w:cs="Arial"/>
                <w:color w:val="auto"/>
                <w:szCs w:val="24"/>
              </w:rPr>
              <w:t xml:space="preserve">have been </w:t>
            </w:r>
            <w:r w:rsidR="007839E5" w:rsidRPr="00D050F1">
              <w:rPr>
                <w:rFonts w:cs="Arial"/>
                <w:color w:val="auto"/>
                <w:szCs w:val="24"/>
              </w:rPr>
              <w:t xml:space="preserve">shown to be more effective </w:t>
            </w:r>
            <w:r w:rsidR="007839E5" w:rsidRPr="00D050F1">
              <w:rPr>
                <w:rFonts w:cs="Arial"/>
                <w:color w:val="auto"/>
                <w:szCs w:val="24"/>
              </w:rPr>
              <w:lastRenderedPageBreak/>
              <w:t>when delivered as regular sessions</w:t>
            </w:r>
            <w:r w:rsidR="00DA5D6B" w:rsidRPr="00D050F1">
              <w:rPr>
                <w:rFonts w:cs="Arial"/>
                <w:color w:val="auto"/>
                <w:szCs w:val="24"/>
              </w:rPr>
              <w:t xml:space="preserve"> over a period up to 12 weeks</w:t>
            </w:r>
            <w:r w:rsidR="00EC363E" w:rsidRPr="00D050F1">
              <w:rPr>
                <w:rFonts w:cs="Arial"/>
                <w:color w:val="auto"/>
                <w:szCs w:val="24"/>
              </w:rPr>
              <w:t>:</w:t>
            </w:r>
          </w:p>
          <w:p w14:paraId="5FCA18E8" w14:textId="5D5F84BF" w:rsidR="0026462D" w:rsidRPr="00D050F1" w:rsidRDefault="00E47AFE" w:rsidP="00396FA2">
            <w:pPr>
              <w:pStyle w:val="TableRowCentered"/>
              <w:spacing w:after="120"/>
              <w:ind w:left="0" w:right="0"/>
              <w:jc w:val="left"/>
              <w:rPr>
                <w:color w:val="auto"/>
              </w:rPr>
            </w:pPr>
            <w:hyperlink r:id="rId18" w:history="1">
              <w:r w:rsidRPr="0005639B">
                <w:rPr>
                  <w:rStyle w:val="Hyperlink"/>
                  <w:iCs/>
                  <w:szCs w:val="28"/>
                  <w:lang w:val="en-US"/>
                </w:rPr>
                <w:t>Phonics | T</w:t>
              </w:r>
              <w:r w:rsidR="00483E4E" w:rsidRPr="0005639B">
                <w:rPr>
                  <w:rStyle w:val="Hyperlink"/>
                  <w:iCs/>
                  <w:szCs w:val="28"/>
                  <w:lang w:val="en-US"/>
                </w:rPr>
                <w:t>eaching and Learning T</w:t>
              </w:r>
              <w:r w:rsidRPr="0005639B">
                <w:rPr>
                  <w:rStyle w:val="Hyperlink"/>
                  <w:iCs/>
                  <w:szCs w:val="28"/>
                  <w:lang w:val="en-US"/>
                </w:rPr>
                <w:t>oolkit | EEF</w:t>
              </w:r>
            </w:hyperlink>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A52F9" w14:textId="3A560533" w:rsidR="00B8060C" w:rsidRPr="00D050F1" w:rsidRDefault="005153E1" w:rsidP="00396FA2">
            <w:pPr>
              <w:pStyle w:val="TableRowCentered"/>
              <w:ind w:left="0" w:right="0"/>
              <w:jc w:val="left"/>
              <w:rPr>
                <w:color w:val="auto"/>
                <w:szCs w:val="22"/>
              </w:rPr>
            </w:pPr>
            <w:r w:rsidRPr="00D050F1">
              <w:rPr>
                <w:color w:val="auto"/>
                <w:szCs w:val="22"/>
              </w:rPr>
              <w:lastRenderedPageBreak/>
              <w:t>2</w:t>
            </w:r>
          </w:p>
        </w:tc>
      </w:tr>
      <w:tr w:rsidR="005153E1" w:rsidRPr="00D050F1" w14:paraId="19EDD9EE"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11317" w14:textId="508FEF0D" w:rsidR="005153E1" w:rsidRPr="00D050F1" w:rsidRDefault="008D2045" w:rsidP="00396FA2">
            <w:pPr>
              <w:pStyle w:val="TableRow"/>
              <w:spacing w:after="120"/>
              <w:ind w:left="0" w:right="0"/>
              <w:rPr>
                <w:rFonts w:cs="Arial"/>
                <w:iCs/>
                <w:color w:val="auto"/>
                <w:lang w:val="en-US"/>
              </w:rPr>
            </w:pPr>
            <w:r w:rsidRPr="00D050F1">
              <w:rPr>
                <w:rFonts w:cs="Arial"/>
                <w:iCs/>
                <w:color w:val="auto"/>
                <w:lang w:val="en-US"/>
              </w:rPr>
              <w:t xml:space="preserve">Purchase of a programme to improve listening, narrative and vocabulary skills for disadvantaged pupils who have relatively </w:t>
            </w:r>
            <w:r w:rsidR="004653F8" w:rsidRPr="00D050F1">
              <w:rPr>
                <w:rFonts w:cs="Arial"/>
                <w:iCs/>
                <w:color w:val="auto"/>
                <w:lang w:val="en-US"/>
              </w:rPr>
              <w:t xml:space="preserve">weak </w:t>
            </w:r>
            <w:r w:rsidRPr="00D050F1">
              <w:rPr>
                <w:rFonts w:cs="Arial"/>
                <w:iCs/>
                <w:color w:val="auto"/>
                <w:lang w:val="en-US"/>
              </w:rPr>
              <w:t>spoken language skills.</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245D" w14:textId="77777777" w:rsidR="008D2045" w:rsidRPr="00D050F1" w:rsidRDefault="008D2045" w:rsidP="00396FA2">
            <w:pPr>
              <w:pStyle w:val="TableRowCentered"/>
              <w:ind w:left="0" w:right="0"/>
              <w:jc w:val="left"/>
              <w:rPr>
                <w:rFonts w:cs="Arial"/>
                <w:color w:val="auto"/>
                <w:szCs w:val="24"/>
              </w:rPr>
            </w:pPr>
            <w:r w:rsidRPr="00D050F1">
              <w:rPr>
                <w:rFonts w:cs="Arial"/>
                <w:color w:val="auto"/>
                <w:szCs w:val="24"/>
              </w:rPr>
              <w:t>Oral language interventions can have a positive impact on pupils’ language skills. Approaches that focus on speaking, listening and a combination of the two show positive impacts on attainment:</w:t>
            </w:r>
          </w:p>
          <w:p w14:paraId="7E164B51" w14:textId="04B3D7C6" w:rsidR="00A45684" w:rsidRPr="00991A05" w:rsidRDefault="008D2045" w:rsidP="00396FA2">
            <w:pPr>
              <w:pStyle w:val="TableRowCentered"/>
              <w:spacing w:after="120"/>
              <w:ind w:left="0" w:right="0"/>
              <w:jc w:val="left"/>
              <w:rPr>
                <w:iCs/>
                <w:color w:val="0000FF"/>
                <w:szCs w:val="28"/>
                <w:u w:val="single"/>
                <w:lang w:val="en-US"/>
              </w:rPr>
            </w:pPr>
            <w:hyperlink r:id="rId19" w:history="1">
              <w:r w:rsidRPr="0005639B">
                <w:rPr>
                  <w:rStyle w:val="Hyperlink"/>
                  <w:iCs/>
                  <w:szCs w:val="28"/>
                  <w:lang w:val="en-US"/>
                </w:rPr>
                <w:t>Oral language interventions |</w:t>
              </w:r>
              <w:r w:rsidR="00371E01" w:rsidRPr="0005639B">
                <w:rPr>
                  <w:rStyle w:val="Hyperlink"/>
                  <w:iCs/>
                  <w:szCs w:val="28"/>
                  <w:lang w:val="en-US"/>
                </w:rPr>
                <w:t xml:space="preserve"> Teaching and Learning Toolkit</w:t>
              </w:r>
              <w:r w:rsidRPr="0005639B">
                <w:rPr>
                  <w:rStyle w:val="Hyperlink"/>
                  <w:iCs/>
                  <w:szCs w:val="28"/>
                  <w:lang w:val="en-US"/>
                </w:rPr>
                <w:t xml:space="preserve"> </w:t>
              </w:r>
              <w:r w:rsidR="00371E01" w:rsidRPr="0005639B">
                <w:rPr>
                  <w:rStyle w:val="Hyperlink"/>
                  <w:iCs/>
                  <w:szCs w:val="28"/>
                  <w:lang w:val="en-US"/>
                </w:rPr>
                <w:t xml:space="preserve">| </w:t>
              </w:r>
              <w:r w:rsidRPr="0005639B">
                <w:rPr>
                  <w:rStyle w:val="Hyperlink"/>
                  <w:iCs/>
                  <w:szCs w:val="28"/>
                  <w:lang w:val="en-US"/>
                </w:rPr>
                <w:t>EEF</w:t>
              </w:r>
            </w:hyperlink>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46D32" w14:textId="3B6324B9" w:rsidR="005153E1" w:rsidRPr="00D050F1" w:rsidRDefault="008D2045" w:rsidP="00396FA2">
            <w:pPr>
              <w:pStyle w:val="TableRowCentered"/>
              <w:ind w:left="0" w:right="0"/>
              <w:jc w:val="left"/>
              <w:rPr>
                <w:color w:val="auto"/>
                <w:szCs w:val="22"/>
              </w:rPr>
            </w:pPr>
            <w:r w:rsidRPr="00D050F1">
              <w:rPr>
                <w:color w:val="auto"/>
                <w:szCs w:val="22"/>
              </w:rPr>
              <w:t>1</w:t>
            </w:r>
          </w:p>
        </w:tc>
      </w:tr>
    </w:tbl>
    <w:p w14:paraId="2A7D5532" w14:textId="18C5F38E" w:rsidR="00E66558" w:rsidRPr="00D050F1" w:rsidRDefault="009D71E8" w:rsidP="00CA60C2">
      <w:pPr>
        <w:pStyle w:val="Heading3"/>
      </w:pPr>
      <w:r w:rsidRPr="00D050F1">
        <w:t>Wider strategies (for example, related to attendance, behaviour, wellbeing)</w:t>
      </w:r>
    </w:p>
    <w:p w14:paraId="2A7D5533" w14:textId="08F8D305" w:rsidR="00E66558" w:rsidRPr="00D050F1" w:rsidRDefault="009D71E8" w:rsidP="0072129C">
      <w:pPr>
        <w:spacing w:before="240"/>
      </w:pPr>
      <w:r w:rsidRPr="00D050F1">
        <w:t xml:space="preserve">Budgeted cost: </w:t>
      </w:r>
      <w:r w:rsidRPr="00D050F1">
        <w:rPr>
          <w:b/>
          <w:bCs/>
          <w:color w:val="auto"/>
        </w:rPr>
        <w:t>£</w:t>
      </w:r>
      <w:r w:rsidR="00BB72E6">
        <w:rPr>
          <w:b/>
          <w:bCs/>
          <w:color w:val="auto"/>
        </w:rPr>
        <w:t>3678</w:t>
      </w:r>
    </w:p>
    <w:tbl>
      <w:tblPr>
        <w:tblW w:w="5000" w:type="pct"/>
        <w:tblLayout w:type="fixed"/>
        <w:tblCellMar>
          <w:left w:w="10" w:type="dxa"/>
          <w:right w:w="10" w:type="dxa"/>
        </w:tblCellMar>
        <w:tblLook w:val="04A0" w:firstRow="1" w:lastRow="0" w:firstColumn="1" w:lastColumn="0" w:noHBand="0" w:noVBand="1"/>
      </w:tblPr>
      <w:tblGrid>
        <w:gridCol w:w="3681"/>
        <w:gridCol w:w="4274"/>
        <w:gridCol w:w="1531"/>
      </w:tblGrid>
      <w:tr w:rsidR="00E66558" w:rsidRPr="00D050F1" w14:paraId="2A7D5537"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D050F1" w:rsidRDefault="009D71E8" w:rsidP="00396FA2">
            <w:pPr>
              <w:pStyle w:val="TableHeader"/>
              <w:ind w:left="0" w:right="0"/>
              <w:jc w:val="left"/>
            </w:pPr>
            <w:r w:rsidRPr="00D050F1">
              <w:t>Activity</w:t>
            </w:r>
          </w:p>
        </w:tc>
        <w:tc>
          <w:tcPr>
            <w:tcW w:w="42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D050F1" w:rsidRDefault="009D71E8" w:rsidP="00396FA2">
            <w:pPr>
              <w:pStyle w:val="TableHeader"/>
              <w:ind w:left="0" w:right="0"/>
              <w:jc w:val="left"/>
            </w:pPr>
            <w:r w:rsidRPr="00D050F1">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D050F1" w:rsidRDefault="009D71E8" w:rsidP="00396FA2">
            <w:pPr>
              <w:pStyle w:val="TableHeader"/>
              <w:ind w:left="0" w:right="0"/>
              <w:jc w:val="left"/>
            </w:pPr>
            <w:r w:rsidRPr="00D050F1">
              <w:t>Challenge number(s) addressed</w:t>
            </w:r>
          </w:p>
        </w:tc>
      </w:tr>
      <w:tr w:rsidR="004C2DBA" w:rsidRPr="00D050F1" w14:paraId="37A514BF" w14:textId="77777777" w:rsidTr="00F6636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7183B" w14:textId="308B2FC5" w:rsidR="004C2DBA" w:rsidRPr="00D050F1" w:rsidRDefault="001A2FC9" w:rsidP="00396FA2">
            <w:pPr>
              <w:pStyle w:val="TableRow"/>
              <w:spacing w:after="120"/>
              <w:ind w:left="0" w:right="0"/>
              <w:rPr>
                <w:iCs/>
                <w:color w:val="auto"/>
                <w:szCs w:val="28"/>
                <w:lang w:val="en-US"/>
              </w:rPr>
            </w:pPr>
            <w:r>
              <w:t>Understanding of different cultures is celebrated through a variety of additional experiences.</w:t>
            </w:r>
          </w:p>
        </w:tc>
        <w:tc>
          <w:tcPr>
            <w:tcW w:w="4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4D5AA" w14:textId="77777777" w:rsidR="001A2FC9" w:rsidRDefault="001A2FC9" w:rsidP="00396FA2">
            <w:pPr>
              <w:pStyle w:val="TableRowCentered"/>
              <w:ind w:left="0" w:right="0"/>
              <w:jc w:val="left"/>
            </w:pPr>
            <w:r>
              <w:t xml:space="preserve">Subsidised trips &amp; visits </w:t>
            </w:r>
          </w:p>
          <w:p w14:paraId="18698FB7" w14:textId="650D1511" w:rsidR="004C2DBA" w:rsidRPr="00D050F1" w:rsidRDefault="001A2FC9" w:rsidP="00396FA2">
            <w:pPr>
              <w:pStyle w:val="TableRowCentered"/>
              <w:ind w:left="0" w:right="0"/>
              <w:jc w:val="left"/>
              <w:rPr>
                <w:color w:val="auto"/>
              </w:rPr>
            </w:pPr>
            <w:r>
              <w:t xml:space="preserve">An increase of cultural capital and experiential learning will support children’s learning and SEMH.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B11C2" w14:textId="3EE2F27E" w:rsidR="004C2DBA" w:rsidRPr="00D050F1" w:rsidRDefault="001A2FC9" w:rsidP="00396FA2">
            <w:pPr>
              <w:pStyle w:val="TableRowCentered"/>
              <w:ind w:left="0" w:right="0"/>
              <w:jc w:val="left"/>
              <w:rPr>
                <w:color w:val="auto"/>
                <w:sz w:val="22"/>
              </w:rPr>
            </w:pPr>
            <w:r>
              <w:rPr>
                <w:color w:val="auto"/>
                <w:sz w:val="22"/>
              </w:rPr>
              <w:t>4</w:t>
            </w:r>
          </w:p>
        </w:tc>
      </w:tr>
      <w:tr w:rsidR="001A2FC9" w:rsidRPr="00D050F1" w14:paraId="41E4ED5B" w14:textId="77777777" w:rsidTr="00F6636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4C48" w14:textId="34BE3B6A" w:rsidR="001A2FC9" w:rsidRPr="00D050F1" w:rsidRDefault="001A2FC9" w:rsidP="00396FA2">
            <w:pPr>
              <w:pStyle w:val="TableRow"/>
              <w:spacing w:after="120"/>
              <w:ind w:left="0" w:right="0"/>
              <w:rPr>
                <w:iCs/>
                <w:color w:val="auto"/>
                <w:szCs w:val="28"/>
                <w:lang w:val="en-US"/>
              </w:rPr>
            </w:pPr>
            <w:r>
              <w:t>Staff to provide a range of school clubs.</w:t>
            </w:r>
          </w:p>
        </w:tc>
        <w:tc>
          <w:tcPr>
            <w:tcW w:w="4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3D14" w14:textId="3D65DF1B" w:rsidR="001A2FC9" w:rsidRPr="00D050F1" w:rsidRDefault="001A2FC9" w:rsidP="00396FA2">
            <w:pPr>
              <w:pStyle w:val="TableRowCentered"/>
              <w:ind w:left="0" w:right="0"/>
              <w:jc w:val="left"/>
              <w:rPr>
                <w:color w:val="auto"/>
              </w:rPr>
            </w:pPr>
            <w:r>
              <w:t xml:space="preserve">Increased enjoyment of school and experiences Staff to provide a range of </w:t>
            </w:r>
            <w:r w:rsidR="009D5506">
              <w:t>extra</w:t>
            </w:r>
            <w:r w:rsidR="007C54C2">
              <w:t>-</w:t>
            </w:r>
            <w:r w:rsidR="009D5506">
              <w:t>curricular</w:t>
            </w:r>
            <w:r>
              <w:t xml:space="preserve"> clubs. Physical</w:t>
            </w:r>
            <w:r w:rsidR="009D5506">
              <w:t xml:space="preserve">, music and expressive arts </w:t>
            </w:r>
            <w:r>
              <w:t>activity ha</w:t>
            </w:r>
            <w:r w:rsidR="009D5506">
              <w:t>ve</w:t>
            </w:r>
            <w:r>
              <w:t xml:space="preserve"> important benefits in terms of health, wellbeing and physical development. EEF research suggests that it is crucial to ensure that pupils have access to high quality </w:t>
            </w:r>
            <w:r w:rsidR="009D5506">
              <w:t>extra curricular</w:t>
            </w:r>
            <w:r>
              <w:t xml:space="preserve"> activity for the other benefits and opportunities it provides.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BD05B" w14:textId="65C91C84" w:rsidR="001A2FC9" w:rsidRPr="00D050F1" w:rsidRDefault="001A2FC9" w:rsidP="00396FA2">
            <w:pPr>
              <w:pStyle w:val="TableRowCentered"/>
              <w:ind w:left="0" w:right="0"/>
              <w:jc w:val="left"/>
              <w:rPr>
                <w:color w:val="auto"/>
                <w:sz w:val="22"/>
              </w:rPr>
            </w:pPr>
            <w:r>
              <w:rPr>
                <w:color w:val="auto"/>
                <w:sz w:val="22"/>
              </w:rPr>
              <w:t>4</w:t>
            </w:r>
          </w:p>
        </w:tc>
      </w:tr>
    </w:tbl>
    <w:p w14:paraId="00291E16" w14:textId="77777777" w:rsidR="00877501" w:rsidRPr="00D050F1" w:rsidRDefault="00877501" w:rsidP="0072129C">
      <w:pPr>
        <w:spacing w:after="120"/>
        <w:rPr>
          <w:b/>
          <w:bCs/>
          <w:color w:val="104F75"/>
          <w:sz w:val="28"/>
          <w:szCs w:val="28"/>
        </w:rPr>
      </w:pPr>
    </w:p>
    <w:p w14:paraId="2A7D5541" w14:textId="18A9506E" w:rsidR="00E66558" w:rsidRPr="00D050F1" w:rsidRDefault="009D71E8" w:rsidP="0072129C">
      <w:r w:rsidRPr="00D050F1">
        <w:rPr>
          <w:b/>
          <w:bCs/>
          <w:color w:val="104F75"/>
          <w:sz w:val="28"/>
          <w:szCs w:val="28"/>
        </w:rPr>
        <w:t xml:space="preserve">Total budgeted cost: </w:t>
      </w:r>
      <w:r w:rsidRPr="00D050F1">
        <w:rPr>
          <w:b/>
          <w:bCs/>
          <w:color w:val="auto"/>
          <w:sz w:val="28"/>
          <w:szCs w:val="28"/>
        </w:rPr>
        <w:t>£</w:t>
      </w:r>
      <w:r w:rsidR="00176162">
        <w:rPr>
          <w:b/>
          <w:bCs/>
          <w:color w:val="auto"/>
          <w:sz w:val="28"/>
          <w:szCs w:val="28"/>
        </w:rPr>
        <w:t>28,784</w:t>
      </w:r>
    </w:p>
    <w:p w14:paraId="2A7D5542" w14:textId="3AFBCE99" w:rsidR="00E66558" w:rsidRPr="00D050F1" w:rsidRDefault="009D71E8" w:rsidP="0072129C">
      <w:pPr>
        <w:pStyle w:val="Heading1"/>
      </w:pPr>
      <w:r w:rsidRPr="00D050F1">
        <w:lastRenderedPageBreak/>
        <w:t>Part B: Review of the previous academic year</w:t>
      </w:r>
    </w:p>
    <w:p w14:paraId="65734FB3" w14:textId="37DE2E22" w:rsidR="000501EC" w:rsidRPr="00D050F1" w:rsidRDefault="004735D8" w:rsidP="0072129C">
      <w:pPr>
        <w:pStyle w:val="Heading2"/>
      </w:pPr>
      <w:r w:rsidRPr="00D050F1">
        <w:t>O</w:t>
      </w:r>
      <w:r w:rsidR="009D71E8" w:rsidRPr="00D050F1">
        <w:t>utcomes</w:t>
      </w:r>
      <w:r w:rsidRPr="00D050F1">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10277"/>
      </w:tblGrid>
      <w:tr w:rsidR="000501EC" w:rsidRPr="00D050F1"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A5DA8" w14:textId="7A9745DF" w:rsidR="00BE489C" w:rsidRDefault="00BE489C" w:rsidP="00622396">
            <w:pPr>
              <w:pStyle w:val="NormalWeb"/>
              <w:spacing w:before="120" w:beforeAutospacing="0"/>
              <w:rPr>
                <w:rFonts w:ascii="Arial" w:hAnsi="Arial" w:cs="Arial"/>
                <w:color w:val="000000"/>
              </w:rPr>
            </w:pPr>
            <w:r w:rsidRPr="00D050F1">
              <w:rPr>
                <w:rFonts w:ascii="Arial" w:hAnsi="Arial" w:cs="Arial"/>
                <w:color w:val="000000"/>
              </w:rPr>
              <w:t xml:space="preserve">We have analysed the performance of our school’s disadvantaged pupils during the previous academic year, </w:t>
            </w:r>
            <w:r w:rsidR="00A814CA" w:rsidRPr="00D050F1">
              <w:rPr>
                <w:rFonts w:ascii="Arial" w:hAnsi="Arial" w:cs="Arial"/>
                <w:color w:val="000000"/>
              </w:rPr>
              <w:t xml:space="preserve">drawing on national assessment data </w:t>
            </w:r>
            <w:r w:rsidRPr="00D050F1">
              <w:rPr>
                <w:rFonts w:ascii="Arial" w:hAnsi="Arial" w:cs="Arial"/>
                <w:color w:val="000000"/>
              </w:rPr>
              <w:t>and our own internal</w:t>
            </w:r>
            <w:r w:rsidR="00C26170" w:rsidRPr="00D050F1">
              <w:rPr>
                <w:rFonts w:ascii="Arial" w:hAnsi="Arial" w:cs="Arial"/>
                <w:color w:val="000000"/>
              </w:rPr>
              <w:t xml:space="preserve"> summ</w:t>
            </w:r>
            <w:r w:rsidR="00DB0F50" w:rsidRPr="00D050F1">
              <w:rPr>
                <w:rFonts w:ascii="Arial" w:hAnsi="Arial" w:cs="Arial"/>
                <w:color w:val="000000"/>
              </w:rPr>
              <w:t>ative</w:t>
            </w:r>
            <w:r w:rsidRPr="00D050F1">
              <w:rPr>
                <w:rFonts w:ascii="Arial" w:hAnsi="Arial" w:cs="Arial"/>
                <w:color w:val="000000"/>
              </w:rPr>
              <w:t xml:space="preserve"> </w:t>
            </w:r>
            <w:r w:rsidR="001B1E2A" w:rsidRPr="00D050F1">
              <w:rPr>
                <w:rFonts w:ascii="Arial" w:hAnsi="Arial" w:cs="Arial"/>
                <w:color w:val="000000"/>
              </w:rPr>
              <w:t xml:space="preserve">and formative </w:t>
            </w:r>
            <w:r w:rsidR="00BD1D0D" w:rsidRPr="00D050F1">
              <w:rPr>
                <w:rFonts w:ascii="Arial" w:hAnsi="Arial" w:cs="Arial"/>
                <w:color w:val="000000"/>
              </w:rPr>
              <w:t>assessments</w:t>
            </w:r>
            <w:r w:rsidRPr="00D050F1">
              <w:rPr>
                <w:rFonts w:ascii="Arial" w:hAnsi="Arial" w:cs="Arial"/>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1247"/>
              <w:gridCol w:w="743"/>
              <w:gridCol w:w="889"/>
              <w:gridCol w:w="889"/>
              <w:gridCol w:w="903"/>
              <w:gridCol w:w="821"/>
              <w:gridCol w:w="821"/>
              <w:gridCol w:w="958"/>
              <w:gridCol w:w="958"/>
              <w:gridCol w:w="958"/>
              <w:gridCol w:w="864"/>
            </w:tblGrid>
            <w:tr w:rsidR="00176162" w:rsidRPr="00176162" w14:paraId="28938A0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5B807" w14:textId="77777777" w:rsidR="00176162" w:rsidRPr="00176162"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176162">
                    <w:rPr>
                      <w:rFonts w:ascii="Calibri" w:hAnsi="Calibri" w:cs="Calibri"/>
                      <w:b/>
                      <w:bCs/>
                      <w:color w:val="000000"/>
                      <w:sz w:val="28"/>
                      <w:szCs w:val="28"/>
                    </w:rPr>
                    <w:t>Groups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19DDD" w14:textId="77777777" w:rsidR="00176162" w:rsidRPr="00176162"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176162">
                    <w:rPr>
                      <w:rFonts w:ascii="Calibri" w:hAnsi="Calibri" w:cs="Calibri"/>
                      <w:b/>
                      <w:bCs/>
                      <w:color w:val="000000"/>
                    </w:rPr>
                    <w:t>numbers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1FF67"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Reading</w:t>
                  </w:r>
                </w:p>
                <w:p w14:paraId="2E4FDD46"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EXS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8B83"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Reading</w:t>
                  </w:r>
                </w:p>
                <w:p w14:paraId="1C3D0C90"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GDS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7C055"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Reading</w:t>
                  </w:r>
                </w:p>
                <w:p w14:paraId="433A7CC8"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S 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1E0E5"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Writing</w:t>
                  </w:r>
                </w:p>
                <w:p w14:paraId="4FAD7BAB"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EXS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E3E17"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Writing</w:t>
                  </w:r>
                </w:p>
                <w:p w14:paraId="1950D292"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GDS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AF930"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Maths</w:t>
                  </w:r>
                </w:p>
                <w:p w14:paraId="56269195"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EXS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BF798"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Maths</w:t>
                  </w:r>
                </w:p>
                <w:p w14:paraId="00463C5E"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GDS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693D4"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Maths</w:t>
                  </w:r>
                </w:p>
                <w:p w14:paraId="42E1EFE7"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S 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D4882" w14:textId="77777777" w:rsidR="00176162" w:rsidRPr="00D70CBD"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D70CBD">
                    <w:rPr>
                      <w:rFonts w:ascii="Calibri" w:hAnsi="Calibri" w:cs="Calibri"/>
                      <w:b/>
                      <w:bCs/>
                      <w:color w:val="auto"/>
                      <w:sz w:val="28"/>
                      <w:szCs w:val="28"/>
                    </w:rPr>
                    <w:t>R W M</w:t>
                  </w:r>
                </w:p>
              </w:tc>
            </w:tr>
            <w:tr w:rsidR="00176162" w:rsidRPr="00176162" w14:paraId="5FAF8C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3107A" w14:textId="77777777" w:rsidR="00176162" w:rsidRPr="00176162"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176162">
                    <w:rPr>
                      <w:rFonts w:ascii="Calibri" w:hAnsi="Calibri" w:cs="Calibri"/>
                      <w:b/>
                      <w:bCs/>
                      <w:color w:val="000000"/>
                      <w:sz w:val="28"/>
                      <w:szCs w:val="28"/>
                    </w:rPr>
                    <w:t>ALL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3BDB4E" w14:textId="77777777" w:rsidR="00176162" w:rsidRPr="00176162"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176162">
                    <w:rPr>
                      <w:rFonts w:ascii="Tahoma" w:hAnsi="Tahoma" w:cs="Tahoma"/>
                      <w:b/>
                      <w:bCs/>
                      <w:color w:val="000000"/>
                      <w:sz w:val="22"/>
                      <w:szCs w:val="22"/>
                    </w:rPr>
                    <w:t>43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592802"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86%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60CB69"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8708E"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107.7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B2E9A1"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79%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B98AA6"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08CEE1"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F58002"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C8046"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105.6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11FC6F"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72% </w:t>
                  </w:r>
                </w:p>
                <w:p w14:paraId="270E03AB"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GD 12%</w:t>
                  </w:r>
                </w:p>
              </w:tc>
            </w:tr>
            <w:tr w:rsidR="00176162" w:rsidRPr="00176162" w14:paraId="6CC962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52668" w14:textId="77777777" w:rsidR="00176162" w:rsidRPr="00176162"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176162">
                    <w:rPr>
                      <w:rFonts w:ascii="Calibri" w:hAnsi="Calibri" w:cs="Calibri"/>
                      <w:b/>
                      <w:bCs/>
                      <w:color w:val="000000"/>
                      <w:sz w:val="28"/>
                      <w:szCs w:val="28"/>
                    </w:rPr>
                    <w:t>PP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8F6840" w14:textId="77777777" w:rsidR="00176162" w:rsidRPr="00176162"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176162">
                    <w:rPr>
                      <w:rFonts w:ascii="Tahoma" w:hAnsi="Tahoma" w:cs="Tahoma"/>
                      <w:b/>
                      <w:bCs/>
                      <w:color w:val="000000"/>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9F64D9"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ECAD94"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BCAF3"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106.7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35B15C"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E1CB2D"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3C2C08"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71E89A"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53089"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105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53FABE"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50%</w:t>
                  </w:r>
                </w:p>
                <w:p w14:paraId="63C73858"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GD 17%</w:t>
                  </w:r>
                </w:p>
              </w:tc>
            </w:tr>
            <w:tr w:rsidR="00176162" w:rsidRPr="00176162" w14:paraId="0BA1134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E32F8" w14:textId="77777777" w:rsidR="00176162" w:rsidRPr="00176162"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176162">
                    <w:rPr>
                      <w:rFonts w:ascii="Calibri" w:hAnsi="Calibri" w:cs="Calibri"/>
                      <w:b/>
                      <w:bCs/>
                      <w:color w:val="000000"/>
                      <w:sz w:val="28"/>
                      <w:szCs w:val="28"/>
                    </w:rPr>
                    <w:t>NO PP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8610B5" w14:textId="77777777" w:rsidR="00176162" w:rsidRPr="00176162" w:rsidRDefault="00176162" w:rsidP="0045263C">
                  <w:pPr>
                    <w:framePr w:hSpace="180" w:wrap="around" w:vAnchor="text" w:hAnchor="margin" w:y="269"/>
                    <w:numPr>
                      <w:ilvl w:val="0"/>
                      <w:numId w:val="1"/>
                    </w:numPr>
                    <w:suppressAutoHyphens w:val="0"/>
                    <w:autoSpaceDN/>
                    <w:spacing w:after="0" w:line="240" w:lineRule="auto"/>
                    <w:rPr>
                      <w:rFonts w:ascii="Times New Roman" w:hAnsi="Times New Roman"/>
                      <w:color w:val="auto"/>
                    </w:rPr>
                  </w:pPr>
                  <w:r w:rsidRPr="00176162">
                    <w:rPr>
                      <w:rFonts w:ascii="Tahoma" w:hAnsi="Tahoma" w:cs="Tahoma"/>
                      <w:b/>
                      <w:bCs/>
                      <w:color w:val="000000"/>
                      <w:sz w:val="22"/>
                      <w:szCs w:val="22"/>
                    </w:rPr>
                    <w:t>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3BEDEF"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23BF2C"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9AA30"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107.9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B2DDEA"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F811D4"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D0D837"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03ACE4"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C8ADB"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105.7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37E034" w14:textId="77777777" w:rsidR="00176162" w:rsidRPr="00176162" w:rsidRDefault="00176162" w:rsidP="0045263C">
                  <w:pPr>
                    <w:framePr w:hSpace="180" w:wrap="around" w:vAnchor="text" w:hAnchor="margin" w:y="269"/>
                    <w:numPr>
                      <w:ilvl w:val="0"/>
                      <w:numId w:val="1"/>
                    </w:numPr>
                    <w:suppressAutoHyphens w:val="0"/>
                    <w:autoSpaceDN/>
                    <w:spacing w:after="0" w:line="240" w:lineRule="auto"/>
                    <w:jc w:val="center"/>
                    <w:rPr>
                      <w:rFonts w:ascii="Times New Roman" w:hAnsi="Times New Roman"/>
                      <w:color w:val="auto"/>
                    </w:rPr>
                  </w:pPr>
                  <w:r w:rsidRPr="00176162">
                    <w:rPr>
                      <w:rFonts w:ascii="Tahoma" w:hAnsi="Tahoma" w:cs="Tahoma"/>
                      <w:b/>
                      <w:bCs/>
                      <w:color w:val="000000"/>
                    </w:rPr>
                    <w:t>89%</w:t>
                  </w:r>
                  <w:r w:rsidRPr="00176162">
                    <w:rPr>
                      <w:rFonts w:ascii="Tahoma" w:hAnsi="Tahoma" w:cs="Tahoma"/>
                      <w:b/>
                      <w:bCs/>
                      <w:color w:val="000000"/>
                    </w:rPr>
                    <w:br/>
                    <w:t>GD 11%</w:t>
                  </w:r>
                </w:p>
              </w:tc>
            </w:tr>
          </w:tbl>
          <w:p w14:paraId="5B4368B9" w14:textId="77777777" w:rsidR="00176162" w:rsidRPr="00D050F1" w:rsidRDefault="00176162" w:rsidP="00622396">
            <w:pPr>
              <w:pStyle w:val="NormalWeb"/>
              <w:spacing w:before="120" w:beforeAutospacing="0"/>
              <w:rPr>
                <w:rFonts w:ascii="Arial" w:hAnsi="Arial" w:cs="Arial"/>
                <w:color w:val="000000"/>
              </w:rPr>
            </w:pPr>
          </w:p>
          <w:p w14:paraId="0BE2D91B" w14:textId="4C98D11E" w:rsidR="000501EC" w:rsidRPr="00D050F1" w:rsidRDefault="00E42903" w:rsidP="00D135A9">
            <w:pPr>
              <w:spacing w:after="120"/>
              <w:rPr>
                <w:rFonts w:cs="Arial"/>
                <w:color w:val="000000"/>
              </w:rPr>
            </w:pPr>
            <w:r w:rsidRPr="00D050F1">
              <w:rPr>
                <w:rFonts w:cs="Arial"/>
                <w:color w:val="000000"/>
              </w:rPr>
              <w:t>We have reviewed our strategy plan and made changes to how we intend to use some of our budget this academic year. The Further Information section below provides more details about our planning, implementation, and evaluation processes.</w:t>
            </w:r>
          </w:p>
        </w:tc>
      </w:tr>
    </w:tbl>
    <w:p w14:paraId="135B6B87" w14:textId="77777777" w:rsidR="00B52894" w:rsidRDefault="00B52894" w:rsidP="0072129C">
      <w:pPr>
        <w:pStyle w:val="Heading2"/>
        <w:spacing w:before="600"/>
      </w:pPr>
    </w:p>
    <w:p w14:paraId="5FC6B243" w14:textId="77777777" w:rsidR="00B52894" w:rsidRDefault="00B52894">
      <w:pPr>
        <w:suppressAutoHyphens w:val="0"/>
        <w:spacing w:after="0" w:line="240" w:lineRule="auto"/>
        <w:rPr>
          <w:b/>
          <w:color w:val="104F75"/>
          <w:sz w:val="32"/>
          <w:szCs w:val="32"/>
        </w:rPr>
      </w:pPr>
      <w:r>
        <w:br w:type="page"/>
      </w:r>
    </w:p>
    <w:p w14:paraId="42B2B9F8" w14:textId="77777777" w:rsidR="00B02027" w:rsidRPr="00D050F1" w:rsidRDefault="00B02027" w:rsidP="0072129C">
      <w:pPr>
        <w:pStyle w:val="Heading1"/>
      </w:pPr>
      <w:r w:rsidRPr="00D050F1">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5529437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4D0DC" w14:textId="036F2FA9" w:rsidR="006119D3" w:rsidRPr="00D050F1" w:rsidRDefault="006119D3" w:rsidP="00396FA2">
            <w:pPr>
              <w:autoSpaceDN/>
              <w:spacing w:before="120" w:after="120"/>
              <w:rPr>
                <w:rFonts w:cs="Arial"/>
                <w:b/>
                <w:bCs/>
                <w:iCs/>
                <w:color w:val="auto"/>
                <w:lang w:eastAsia="en-US"/>
              </w:rPr>
            </w:pPr>
            <w:r w:rsidRPr="00D050F1">
              <w:rPr>
                <w:rFonts w:cs="Arial"/>
                <w:b/>
                <w:bCs/>
                <w:iCs/>
                <w:color w:val="auto"/>
                <w:lang w:eastAsia="en-US"/>
              </w:rPr>
              <w:t>Additional activity</w:t>
            </w:r>
          </w:p>
          <w:p w14:paraId="4D56DEDC" w14:textId="3F1542B8" w:rsidR="000605EA" w:rsidRPr="00D050F1" w:rsidRDefault="0041678F" w:rsidP="00396FA2">
            <w:pPr>
              <w:autoSpaceDN/>
              <w:spacing w:before="120" w:after="120"/>
              <w:rPr>
                <w:rFonts w:cs="Arial"/>
                <w:iCs/>
                <w:color w:val="auto"/>
                <w:lang w:eastAsia="en-US"/>
              </w:rPr>
            </w:pPr>
            <w:r w:rsidRPr="00D050F1">
              <w:rPr>
                <w:rFonts w:cs="Arial"/>
                <w:iCs/>
                <w:color w:val="auto"/>
                <w:lang w:eastAsia="en-US"/>
              </w:rPr>
              <w:t>Our pupil premium strategy</w:t>
            </w:r>
            <w:r w:rsidR="007A4ADF" w:rsidRPr="00D050F1">
              <w:rPr>
                <w:rFonts w:cs="Arial"/>
                <w:iCs/>
                <w:color w:val="auto"/>
                <w:lang w:eastAsia="en-US"/>
              </w:rPr>
              <w:t xml:space="preserve"> will be supplemented by additional activity that </w:t>
            </w:r>
            <w:r w:rsidR="00F623A8" w:rsidRPr="00D050F1">
              <w:rPr>
                <w:rFonts w:cs="Arial"/>
                <w:iCs/>
                <w:color w:val="auto"/>
                <w:lang w:eastAsia="en-US"/>
              </w:rPr>
              <w:t xml:space="preserve">is </w:t>
            </w:r>
            <w:r w:rsidR="007A4ADF" w:rsidRPr="00D050F1">
              <w:rPr>
                <w:rFonts w:cs="Arial"/>
                <w:iCs/>
                <w:color w:val="auto"/>
                <w:lang w:eastAsia="en-US"/>
              </w:rPr>
              <w:t xml:space="preserve">not </w:t>
            </w:r>
            <w:r w:rsidR="00F623A8" w:rsidRPr="00D050F1">
              <w:rPr>
                <w:rFonts w:cs="Arial"/>
                <w:iCs/>
                <w:color w:val="auto"/>
                <w:lang w:eastAsia="en-US"/>
              </w:rPr>
              <w:t xml:space="preserve">being </w:t>
            </w:r>
            <w:r w:rsidR="007A4ADF" w:rsidRPr="00D050F1">
              <w:rPr>
                <w:rFonts w:cs="Arial"/>
                <w:iCs/>
                <w:color w:val="auto"/>
                <w:lang w:eastAsia="en-US"/>
              </w:rPr>
              <w:t>fund</w:t>
            </w:r>
            <w:r w:rsidR="00D63A88" w:rsidRPr="00D050F1">
              <w:rPr>
                <w:rFonts w:cs="Arial"/>
                <w:iCs/>
                <w:color w:val="auto"/>
                <w:lang w:eastAsia="en-US"/>
              </w:rPr>
              <w:t>ed by</w:t>
            </w:r>
            <w:r w:rsidR="007A4ADF" w:rsidRPr="00D050F1">
              <w:rPr>
                <w:rFonts w:cs="Arial"/>
                <w:iCs/>
                <w:color w:val="auto"/>
                <w:lang w:eastAsia="en-US"/>
              </w:rPr>
              <w:t xml:space="preserve"> pupil premium. That will include:</w:t>
            </w:r>
            <w:r w:rsidRPr="00D050F1">
              <w:rPr>
                <w:rFonts w:cs="Arial"/>
                <w:iCs/>
                <w:color w:val="auto"/>
                <w:lang w:eastAsia="en-US"/>
              </w:rPr>
              <w:t xml:space="preserve"> </w:t>
            </w:r>
          </w:p>
          <w:p w14:paraId="36B7E97A" w14:textId="5CADB68B" w:rsidR="00F848CC" w:rsidRPr="00AE1BB1" w:rsidRDefault="00F50EF6" w:rsidP="00C474F3">
            <w:pPr>
              <w:pStyle w:val="ListParagraph"/>
              <w:numPr>
                <w:ilvl w:val="0"/>
                <w:numId w:val="33"/>
              </w:numPr>
              <w:autoSpaceDN/>
              <w:spacing w:before="120" w:after="120"/>
              <w:ind w:left="414" w:hanging="357"/>
              <w:contextualSpacing w:val="0"/>
              <w:rPr>
                <w:rFonts w:cs="Arial"/>
                <w:iCs/>
                <w:color w:val="auto"/>
                <w:lang w:eastAsia="en-US"/>
              </w:rPr>
            </w:pPr>
            <w:r>
              <w:rPr>
                <w:rFonts w:cs="Arial"/>
                <w:iCs/>
                <w:color w:val="auto"/>
                <w:lang w:eastAsia="en-US"/>
              </w:rPr>
              <w:t>E</w:t>
            </w:r>
            <w:r w:rsidR="00A47A03" w:rsidRPr="00AE1BB1">
              <w:rPr>
                <w:rFonts w:cs="Arial"/>
                <w:iCs/>
                <w:color w:val="auto"/>
                <w:lang w:eastAsia="en-US"/>
              </w:rPr>
              <w:t>mbed</w:t>
            </w:r>
            <w:r w:rsidR="00A400A9" w:rsidRPr="00AE1BB1">
              <w:rPr>
                <w:rFonts w:cs="Arial"/>
                <w:iCs/>
                <w:color w:val="auto"/>
                <w:lang w:eastAsia="en-US"/>
              </w:rPr>
              <w:t>ding</w:t>
            </w:r>
            <w:r w:rsidR="00A47A03" w:rsidRPr="00AE1BB1">
              <w:rPr>
                <w:rFonts w:cs="Arial"/>
                <w:iCs/>
                <w:color w:val="auto"/>
                <w:lang w:eastAsia="en-US"/>
              </w:rPr>
              <w:t xml:space="preserve"> more</w:t>
            </w:r>
            <w:r w:rsidR="00F848CC" w:rsidRPr="00AE1BB1">
              <w:rPr>
                <w:rFonts w:cs="Arial"/>
                <w:iCs/>
                <w:color w:val="auto"/>
                <w:lang w:eastAsia="en-US"/>
              </w:rPr>
              <w:t xml:space="preserve"> effective practice around feedback. </w:t>
            </w:r>
            <w:hyperlink r:id="rId20" w:history="1">
              <w:r w:rsidR="00F848CC" w:rsidRPr="00AE1BB1">
                <w:rPr>
                  <w:rStyle w:val="Hyperlink"/>
                  <w:iCs/>
                  <w:szCs w:val="28"/>
                  <w:lang w:val="en-US"/>
                </w:rPr>
                <w:t>EEF evidenc</w:t>
              </w:r>
              <w:r w:rsidR="00717CFD" w:rsidRPr="00AE1BB1">
                <w:rPr>
                  <w:rStyle w:val="Hyperlink"/>
                  <w:iCs/>
                  <w:szCs w:val="28"/>
                  <w:lang w:val="en-US"/>
                </w:rPr>
                <w:t xml:space="preserve">e </w:t>
              </w:r>
              <w:r w:rsidR="00E869FB" w:rsidRPr="00AE1BB1">
                <w:rPr>
                  <w:rStyle w:val="Hyperlink"/>
                  <w:iCs/>
                  <w:szCs w:val="28"/>
                  <w:lang w:val="en-US"/>
                </w:rPr>
                <w:t>on feedback</w:t>
              </w:r>
            </w:hyperlink>
            <w:r w:rsidR="00F848CC" w:rsidRPr="00AE1BB1">
              <w:rPr>
                <w:rStyle w:val="Hyperlink"/>
                <w:szCs w:val="28"/>
                <w:lang w:val="en-US"/>
              </w:rPr>
              <w:t xml:space="preserve"> </w:t>
            </w:r>
            <w:r w:rsidR="00F848CC" w:rsidRPr="00AE1BB1">
              <w:rPr>
                <w:rFonts w:cs="Arial"/>
                <w:iCs/>
                <w:color w:val="auto"/>
                <w:lang w:eastAsia="en-US"/>
              </w:rPr>
              <w:t xml:space="preserve">demonstrates significant benefits, particularly </w:t>
            </w:r>
            <w:r w:rsidR="00C3260E">
              <w:rPr>
                <w:rFonts w:cs="Arial"/>
                <w:iCs/>
                <w:color w:val="auto"/>
                <w:lang w:eastAsia="en-US"/>
              </w:rPr>
              <w:t xml:space="preserve">for </w:t>
            </w:r>
            <w:r w:rsidR="00F848CC" w:rsidRPr="00AE1BB1">
              <w:rPr>
                <w:rFonts w:cs="Arial"/>
                <w:iCs/>
                <w:color w:val="auto"/>
                <w:lang w:eastAsia="en-US"/>
              </w:rPr>
              <w:t>disadvantaged</w:t>
            </w:r>
            <w:r w:rsidR="00E67DB3" w:rsidRPr="00AE1BB1">
              <w:rPr>
                <w:rFonts w:cs="Arial"/>
                <w:iCs/>
                <w:color w:val="auto"/>
                <w:lang w:eastAsia="en-US"/>
              </w:rPr>
              <w:t xml:space="preserve"> pupils</w:t>
            </w:r>
            <w:r w:rsidR="00F848CC" w:rsidRPr="00AE1BB1">
              <w:rPr>
                <w:rFonts w:cs="Arial"/>
                <w:iCs/>
                <w:color w:val="auto"/>
                <w:lang w:eastAsia="en-US"/>
              </w:rPr>
              <w:t xml:space="preserve">. </w:t>
            </w:r>
          </w:p>
          <w:p w14:paraId="77C9FBB2" w14:textId="13954E95" w:rsidR="006119D3" w:rsidRPr="00D050F1" w:rsidRDefault="009D2898" w:rsidP="00396FA2">
            <w:pPr>
              <w:autoSpaceDN/>
              <w:spacing w:before="240" w:after="120"/>
              <w:rPr>
                <w:rFonts w:cs="Arial"/>
                <w:b/>
                <w:bCs/>
                <w:iCs/>
                <w:color w:val="auto"/>
                <w:lang w:eastAsia="en-US"/>
              </w:rPr>
            </w:pPr>
            <w:r w:rsidRPr="00D050F1">
              <w:rPr>
                <w:rFonts w:cs="Arial"/>
                <w:b/>
                <w:bCs/>
                <w:iCs/>
                <w:color w:val="auto"/>
                <w:lang w:eastAsia="en-US"/>
              </w:rPr>
              <w:t>P</w:t>
            </w:r>
            <w:r w:rsidR="006119D3" w:rsidRPr="00D050F1">
              <w:rPr>
                <w:rFonts w:cs="Arial"/>
                <w:b/>
                <w:bCs/>
                <w:iCs/>
                <w:color w:val="auto"/>
                <w:lang w:eastAsia="en-US"/>
              </w:rPr>
              <w:t>lanning</w:t>
            </w:r>
            <w:r w:rsidRPr="00D050F1">
              <w:rPr>
                <w:rFonts w:cs="Arial"/>
                <w:b/>
                <w:bCs/>
                <w:iCs/>
                <w:color w:val="auto"/>
                <w:lang w:eastAsia="en-US"/>
              </w:rPr>
              <w:t>, implementation, and evaluation</w:t>
            </w:r>
          </w:p>
          <w:p w14:paraId="5D952DEB" w14:textId="5B84269B" w:rsidR="00B02027" w:rsidRPr="00D050F1" w:rsidRDefault="00B02027" w:rsidP="00396FA2">
            <w:pPr>
              <w:autoSpaceDN/>
              <w:spacing w:before="120"/>
              <w:rPr>
                <w:rFonts w:cs="Arial"/>
                <w:iCs/>
                <w:color w:val="auto"/>
                <w:lang w:eastAsia="en-US"/>
              </w:rPr>
            </w:pPr>
            <w:r w:rsidRPr="00D050F1">
              <w:rPr>
                <w:rFonts w:cs="Arial"/>
                <w:iCs/>
                <w:color w:val="auto"/>
                <w:lang w:eastAsia="en-US"/>
              </w:rPr>
              <w:t>In planning our new pupil premium strategy</w:t>
            </w:r>
            <w:r w:rsidR="00A400A9" w:rsidRPr="00D050F1">
              <w:rPr>
                <w:rFonts w:cs="Arial"/>
                <w:iCs/>
                <w:color w:val="auto"/>
                <w:lang w:eastAsia="en-US"/>
              </w:rPr>
              <w:t>,</w:t>
            </w:r>
            <w:r w:rsidRPr="00D050F1">
              <w:rPr>
                <w:rFonts w:cs="Arial"/>
                <w:iCs/>
                <w:color w:val="auto"/>
                <w:lang w:eastAsia="en-US"/>
              </w:rPr>
              <w:t xml:space="preserve"> we evaluated why activity undertaken in previous years had not had the degree of impact that we had expected. We also commissioned a pupil premium review to get an external perspective. </w:t>
            </w:r>
          </w:p>
          <w:p w14:paraId="50CC65DD" w14:textId="77777777" w:rsidR="00176162" w:rsidRDefault="00F54504" w:rsidP="00176162">
            <w:pPr>
              <w:autoSpaceDN/>
              <w:spacing w:before="120"/>
              <w:rPr>
                <w:rFonts w:cs="Arial"/>
                <w:iCs/>
                <w:color w:val="auto"/>
                <w:lang w:eastAsia="en-US"/>
              </w:rPr>
            </w:pPr>
            <w:r w:rsidRPr="00D050F1">
              <w:rPr>
                <w:rFonts w:cs="Arial"/>
                <w:iCs/>
                <w:color w:val="auto"/>
                <w:lang w:eastAsia="en-US"/>
              </w:rPr>
              <w:t xml:space="preserve">We triangulated </w:t>
            </w:r>
            <w:r w:rsidR="00F25219" w:rsidRPr="00D050F1">
              <w:rPr>
                <w:rFonts w:cs="Arial"/>
                <w:iCs/>
                <w:color w:val="auto"/>
                <w:lang w:eastAsia="en-US"/>
              </w:rPr>
              <w:t xml:space="preserve">evidence from multiple sources of data including assessments, engagement in class book scrutiny, </w:t>
            </w:r>
            <w:r w:rsidR="00AB0ADE">
              <w:rPr>
                <w:rFonts w:cs="Arial"/>
                <w:iCs/>
                <w:color w:val="auto"/>
                <w:lang w:eastAsia="en-US"/>
              </w:rPr>
              <w:t xml:space="preserve">and </w:t>
            </w:r>
            <w:r w:rsidR="00F25219" w:rsidRPr="00D050F1">
              <w:rPr>
                <w:rFonts w:cs="Arial"/>
                <w:iCs/>
                <w:color w:val="auto"/>
                <w:lang w:eastAsia="en-US"/>
              </w:rPr>
              <w:t xml:space="preserve">conversations with </w:t>
            </w:r>
            <w:r w:rsidR="00436C85" w:rsidRPr="00D050F1">
              <w:rPr>
                <w:rFonts w:cs="Arial"/>
                <w:iCs/>
                <w:color w:val="auto"/>
                <w:lang w:eastAsia="en-US"/>
              </w:rPr>
              <w:t>students and teachers</w:t>
            </w:r>
            <w:r w:rsidR="00321AC7">
              <w:rPr>
                <w:rFonts w:cs="Arial"/>
                <w:iCs/>
                <w:color w:val="auto"/>
                <w:lang w:eastAsia="en-US"/>
              </w:rPr>
              <w:t>,</w:t>
            </w:r>
            <w:r w:rsidR="00436C85" w:rsidRPr="00D050F1">
              <w:rPr>
                <w:rFonts w:cs="Arial"/>
                <w:iCs/>
                <w:color w:val="auto"/>
                <w:lang w:eastAsia="en-US"/>
              </w:rPr>
              <w:t xml:space="preserve"> in order to identify the challenges faced by disadvantaged pupils. </w:t>
            </w:r>
          </w:p>
          <w:p w14:paraId="40144794" w14:textId="4C6CAA19" w:rsidR="00B02027" w:rsidRPr="00176162" w:rsidRDefault="00AE591A" w:rsidP="00176162">
            <w:pPr>
              <w:autoSpaceDN/>
              <w:spacing w:before="120"/>
              <w:rPr>
                <w:color w:val="auto"/>
              </w:rPr>
            </w:pPr>
            <w:r w:rsidRPr="00D050F1">
              <w:rPr>
                <w:color w:val="auto"/>
              </w:rPr>
              <w:t xml:space="preserve">We used the </w:t>
            </w:r>
            <w:hyperlink r:id="rId21" w:history="1">
              <w:r w:rsidRPr="0005639B">
                <w:rPr>
                  <w:rStyle w:val="Hyperlink"/>
                  <w:iCs/>
                  <w:szCs w:val="28"/>
                  <w:lang w:val="en-US"/>
                </w:rPr>
                <w:t>EEF’s implementation guidance</w:t>
              </w:r>
            </w:hyperlink>
            <w:r w:rsidRPr="00D050F1">
              <w:rPr>
                <w:color w:val="auto"/>
              </w:rPr>
              <w:t xml:space="preserve"> to </w:t>
            </w:r>
            <w:r w:rsidR="00715B34" w:rsidRPr="00D050F1">
              <w:rPr>
                <w:color w:val="auto"/>
              </w:rPr>
              <w:t>help us</w:t>
            </w:r>
            <w:r w:rsidR="0050115E" w:rsidRPr="00D050F1">
              <w:rPr>
                <w:color w:val="auto"/>
              </w:rPr>
              <w:t xml:space="preserve"> develop our strategy</w:t>
            </w:r>
            <w:r w:rsidR="00E704EA" w:rsidRPr="00D050F1">
              <w:rPr>
                <w:color w:val="auto"/>
              </w:rPr>
              <w:t>, particularly the ‘explore’ phase</w:t>
            </w:r>
            <w:r w:rsidR="00C018CE" w:rsidRPr="00D050F1">
              <w:rPr>
                <w:color w:val="auto"/>
              </w:rPr>
              <w:t xml:space="preserve"> to help us diagnose specific pupil needs and </w:t>
            </w:r>
            <w:r w:rsidR="00990A4A" w:rsidRPr="00D050F1">
              <w:rPr>
                <w:color w:val="auto"/>
              </w:rPr>
              <w:t>work out wh</w:t>
            </w:r>
            <w:r w:rsidR="00785226" w:rsidRPr="00D050F1">
              <w:rPr>
                <w:color w:val="auto"/>
              </w:rPr>
              <w:t>ich activities and approaches are likely to work in our school.</w:t>
            </w:r>
            <w:r w:rsidR="00E704EA" w:rsidRPr="00D050F1">
              <w:rPr>
                <w:color w:val="auto"/>
              </w:rPr>
              <w:t xml:space="preserve"> </w:t>
            </w:r>
          </w:p>
        </w:tc>
      </w:tr>
      <w:bookmarkEnd w:id="14"/>
      <w:bookmarkEnd w:id="15"/>
      <w:bookmarkEnd w:id="16"/>
    </w:tbl>
    <w:p w14:paraId="2A7D555F" w14:textId="77777777" w:rsidR="00E66558" w:rsidRDefault="00E66558" w:rsidP="0072129C">
      <w:pPr>
        <w:spacing w:after="0" w:line="240" w:lineRule="auto"/>
      </w:pPr>
    </w:p>
    <w:sectPr w:rsidR="00E66558">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70F6" w14:textId="77777777" w:rsidR="00B0413D" w:rsidRDefault="00B0413D">
      <w:pPr>
        <w:spacing w:after="0" w:line="240" w:lineRule="auto"/>
      </w:pPr>
      <w:r>
        <w:separator/>
      </w:r>
    </w:p>
  </w:endnote>
  <w:endnote w:type="continuationSeparator" w:id="0">
    <w:p w14:paraId="0FD745BA" w14:textId="77777777" w:rsidR="00B0413D" w:rsidRDefault="00B0413D">
      <w:pPr>
        <w:spacing w:after="0" w:line="240" w:lineRule="auto"/>
      </w:pPr>
      <w:r>
        <w:continuationSeparator/>
      </w:r>
    </w:p>
  </w:endnote>
  <w:endnote w:type="continuationNotice" w:id="1">
    <w:p w14:paraId="562A0253" w14:textId="77777777" w:rsidR="00B0413D" w:rsidRDefault="00B04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3529D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CD33" w14:textId="77777777" w:rsidR="00B0413D" w:rsidRDefault="00B0413D">
      <w:pPr>
        <w:spacing w:after="0" w:line="240" w:lineRule="auto"/>
      </w:pPr>
      <w:r>
        <w:separator/>
      </w:r>
    </w:p>
  </w:footnote>
  <w:footnote w:type="continuationSeparator" w:id="0">
    <w:p w14:paraId="5B06A0F0" w14:textId="77777777" w:rsidR="00B0413D" w:rsidRDefault="00B0413D">
      <w:pPr>
        <w:spacing w:after="0" w:line="240" w:lineRule="auto"/>
      </w:pPr>
      <w:r>
        <w:continuationSeparator/>
      </w:r>
    </w:p>
  </w:footnote>
  <w:footnote w:type="continuationNotice" w:id="1">
    <w:p w14:paraId="795C919B" w14:textId="77777777" w:rsidR="00B0413D" w:rsidRDefault="00B04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0E7"/>
    <w:multiLevelType w:val="hybridMultilevel"/>
    <w:tmpl w:val="42FAEBD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B5579FC"/>
    <w:multiLevelType w:val="hybridMultilevel"/>
    <w:tmpl w:val="38AC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4734291"/>
    <w:multiLevelType w:val="hybridMultilevel"/>
    <w:tmpl w:val="F72A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3"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4"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252274948">
    <w:abstractNumId w:val="9"/>
  </w:num>
  <w:num w:numId="2" w16cid:durableId="931352234">
    <w:abstractNumId w:val="7"/>
  </w:num>
  <w:num w:numId="3" w16cid:durableId="1432623722">
    <w:abstractNumId w:val="10"/>
  </w:num>
  <w:num w:numId="4" w16cid:durableId="518736454">
    <w:abstractNumId w:val="11"/>
  </w:num>
  <w:num w:numId="5" w16cid:durableId="863247753">
    <w:abstractNumId w:val="4"/>
  </w:num>
  <w:num w:numId="6" w16cid:durableId="1460100564">
    <w:abstractNumId w:val="18"/>
  </w:num>
  <w:num w:numId="7" w16cid:durableId="1294868743">
    <w:abstractNumId w:val="26"/>
  </w:num>
  <w:num w:numId="8" w16cid:durableId="824394436">
    <w:abstractNumId w:val="31"/>
  </w:num>
  <w:num w:numId="9" w16cid:durableId="686060151">
    <w:abstractNumId w:val="29"/>
  </w:num>
  <w:num w:numId="10" w16cid:durableId="1408697283">
    <w:abstractNumId w:val="27"/>
  </w:num>
  <w:num w:numId="11" w16cid:durableId="201333919">
    <w:abstractNumId w:val="8"/>
  </w:num>
  <w:num w:numId="12" w16cid:durableId="1812287155">
    <w:abstractNumId w:val="30"/>
  </w:num>
  <w:num w:numId="13" w16cid:durableId="1337459191">
    <w:abstractNumId w:val="24"/>
  </w:num>
  <w:num w:numId="14" w16cid:durableId="946080658">
    <w:abstractNumId w:val="12"/>
  </w:num>
  <w:num w:numId="15" w16cid:durableId="1386220222">
    <w:abstractNumId w:val="22"/>
  </w:num>
  <w:num w:numId="16" w16cid:durableId="1136148139">
    <w:abstractNumId w:val="34"/>
  </w:num>
  <w:num w:numId="17" w16cid:durableId="151608311">
    <w:abstractNumId w:val="13"/>
  </w:num>
  <w:num w:numId="18" w16cid:durableId="1450659120">
    <w:abstractNumId w:val="16"/>
  </w:num>
  <w:num w:numId="19" w16cid:durableId="50160320">
    <w:abstractNumId w:val="1"/>
  </w:num>
  <w:num w:numId="20" w16cid:durableId="1934051481">
    <w:abstractNumId w:val="21"/>
  </w:num>
  <w:num w:numId="21" w16cid:durableId="433748300">
    <w:abstractNumId w:val="3"/>
  </w:num>
  <w:num w:numId="22" w16cid:durableId="1494829707">
    <w:abstractNumId w:val="17"/>
  </w:num>
  <w:num w:numId="23" w16cid:durableId="1142186890">
    <w:abstractNumId w:val="33"/>
  </w:num>
  <w:num w:numId="24" w16cid:durableId="857932306">
    <w:abstractNumId w:val="28"/>
  </w:num>
  <w:num w:numId="25" w16cid:durableId="1309357364">
    <w:abstractNumId w:val="5"/>
  </w:num>
  <w:num w:numId="26" w16cid:durableId="1227687369">
    <w:abstractNumId w:val="14"/>
  </w:num>
  <w:num w:numId="27" w16cid:durableId="1729567788">
    <w:abstractNumId w:val="20"/>
  </w:num>
  <w:num w:numId="28" w16cid:durableId="1467695226">
    <w:abstractNumId w:val="25"/>
  </w:num>
  <w:num w:numId="29" w16cid:durableId="416244908">
    <w:abstractNumId w:val="32"/>
  </w:num>
  <w:num w:numId="30" w16cid:durableId="1634361312">
    <w:abstractNumId w:val="6"/>
  </w:num>
  <w:num w:numId="31" w16cid:durableId="2072192909">
    <w:abstractNumId w:val="15"/>
  </w:num>
  <w:num w:numId="32" w16cid:durableId="1741171348">
    <w:abstractNumId w:val="23"/>
  </w:num>
  <w:num w:numId="33" w16cid:durableId="812135917">
    <w:abstractNumId w:val="0"/>
  </w:num>
  <w:num w:numId="34" w16cid:durableId="959725910">
    <w:abstractNumId w:val="19"/>
  </w:num>
  <w:num w:numId="35" w16cid:durableId="131702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0D44"/>
    <w:rsid w:val="00001886"/>
    <w:rsid w:val="00001891"/>
    <w:rsid w:val="00002B11"/>
    <w:rsid w:val="000045A1"/>
    <w:rsid w:val="00004CF9"/>
    <w:rsid w:val="00005185"/>
    <w:rsid w:val="000051E2"/>
    <w:rsid w:val="000053DC"/>
    <w:rsid w:val="000064DD"/>
    <w:rsid w:val="00006759"/>
    <w:rsid w:val="00007019"/>
    <w:rsid w:val="00007516"/>
    <w:rsid w:val="000100E0"/>
    <w:rsid w:val="000106A2"/>
    <w:rsid w:val="00011010"/>
    <w:rsid w:val="00011340"/>
    <w:rsid w:val="00012026"/>
    <w:rsid w:val="0001384C"/>
    <w:rsid w:val="0001495C"/>
    <w:rsid w:val="000164AF"/>
    <w:rsid w:val="00017729"/>
    <w:rsid w:val="00017EAF"/>
    <w:rsid w:val="0002071E"/>
    <w:rsid w:val="00020DC1"/>
    <w:rsid w:val="00020DC5"/>
    <w:rsid w:val="000234D8"/>
    <w:rsid w:val="0002363D"/>
    <w:rsid w:val="00023A7E"/>
    <w:rsid w:val="00023D9A"/>
    <w:rsid w:val="00023F6E"/>
    <w:rsid w:val="00024AF5"/>
    <w:rsid w:val="000255F8"/>
    <w:rsid w:val="00025872"/>
    <w:rsid w:val="00025B71"/>
    <w:rsid w:val="00026C3B"/>
    <w:rsid w:val="00027B03"/>
    <w:rsid w:val="000301F1"/>
    <w:rsid w:val="0003058C"/>
    <w:rsid w:val="000313D6"/>
    <w:rsid w:val="00031898"/>
    <w:rsid w:val="0003197D"/>
    <w:rsid w:val="0003265C"/>
    <w:rsid w:val="0003270A"/>
    <w:rsid w:val="00032A79"/>
    <w:rsid w:val="00034E82"/>
    <w:rsid w:val="00035D67"/>
    <w:rsid w:val="00037B50"/>
    <w:rsid w:val="0004039A"/>
    <w:rsid w:val="00040F0E"/>
    <w:rsid w:val="0004127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9E9"/>
    <w:rsid w:val="00052E23"/>
    <w:rsid w:val="00053887"/>
    <w:rsid w:val="00053A7C"/>
    <w:rsid w:val="0005411B"/>
    <w:rsid w:val="00054429"/>
    <w:rsid w:val="00054FD5"/>
    <w:rsid w:val="00055729"/>
    <w:rsid w:val="00055B4E"/>
    <w:rsid w:val="00055E73"/>
    <w:rsid w:val="0005639B"/>
    <w:rsid w:val="00057960"/>
    <w:rsid w:val="000579AC"/>
    <w:rsid w:val="000605EA"/>
    <w:rsid w:val="00060CBF"/>
    <w:rsid w:val="00060D61"/>
    <w:rsid w:val="00060F73"/>
    <w:rsid w:val="000613A6"/>
    <w:rsid w:val="00061CE6"/>
    <w:rsid w:val="000623D3"/>
    <w:rsid w:val="00063207"/>
    <w:rsid w:val="00063340"/>
    <w:rsid w:val="000633CF"/>
    <w:rsid w:val="00065BAE"/>
    <w:rsid w:val="00065EB5"/>
    <w:rsid w:val="00066054"/>
    <w:rsid w:val="0006671F"/>
    <w:rsid w:val="00066878"/>
    <w:rsid w:val="00066B73"/>
    <w:rsid w:val="00066E1D"/>
    <w:rsid w:val="00071418"/>
    <w:rsid w:val="00071464"/>
    <w:rsid w:val="000724FB"/>
    <w:rsid w:val="00073FC3"/>
    <w:rsid w:val="000748FA"/>
    <w:rsid w:val="00075257"/>
    <w:rsid w:val="000756C8"/>
    <w:rsid w:val="00075F97"/>
    <w:rsid w:val="00076244"/>
    <w:rsid w:val="000770C3"/>
    <w:rsid w:val="00077DE5"/>
    <w:rsid w:val="00081EDE"/>
    <w:rsid w:val="00081FF7"/>
    <w:rsid w:val="000820BC"/>
    <w:rsid w:val="0008250C"/>
    <w:rsid w:val="00082740"/>
    <w:rsid w:val="000832D2"/>
    <w:rsid w:val="00083574"/>
    <w:rsid w:val="00084B74"/>
    <w:rsid w:val="00084D4B"/>
    <w:rsid w:val="000856FA"/>
    <w:rsid w:val="00086298"/>
    <w:rsid w:val="00086704"/>
    <w:rsid w:val="00086C43"/>
    <w:rsid w:val="0008797E"/>
    <w:rsid w:val="000905F7"/>
    <w:rsid w:val="00090DF5"/>
    <w:rsid w:val="00092A72"/>
    <w:rsid w:val="00092E7B"/>
    <w:rsid w:val="00092F4D"/>
    <w:rsid w:val="0009383B"/>
    <w:rsid w:val="00093BE7"/>
    <w:rsid w:val="00094874"/>
    <w:rsid w:val="00094B06"/>
    <w:rsid w:val="00094CFA"/>
    <w:rsid w:val="000954B5"/>
    <w:rsid w:val="00095DFE"/>
    <w:rsid w:val="00095F83"/>
    <w:rsid w:val="00097A09"/>
    <w:rsid w:val="000A09C0"/>
    <w:rsid w:val="000A18A7"/>
    <w:rsid w:val="000A19FA"/>
    <w:rsid w:val="000A21DF"/>
    <w:rsid w:val="000A367E"/>
    <w:rsid w:val="000A4C2F"/>
    <w:rsid w:val="000A506E"/>
    <w:rsid w:val="000A5F10"/>
    <w:rsid w:val="000A5F32"/>
    <w:rsid w:val="000A61C3"/>
    <w:rsid w:val="000A6B48"/>
    <w:rsid w:val="000A6CC9"/>
    <w:rsid w:val="000B0226"/>
    <w:rsid w:val="000B04BC"/>
    <w:rsid w:val="000B3748"/>
    <w:rsid w:val="000B45BD"/>
    <w:rsid w:val="000B46AE"/>
    <w:rsid w:val="000B5179"/>
    <w:rsid w:val="000B5BCD"/>
    <w:rsid w:val="000B72A4"/>
    <w:rsid w:val="000B7FA2"/>
    <w:rsid w:val="000C0846"/>
    <w:rsid w:val="000C0AD4"/>
    <w:rsid w:val="000C0BDD"/>
    <w:rsid w:val="000C0DE4"/>
    <w:rsid w:val="000C1DD0"/>
    <w:rsid w:val="000C238F"/>
    <w:rsid w:val="000C241F"/>
    <w:rsid w:val="000C3954"/>
    <w:rsid w:val="000C3C8F"/>
    <w:rsid w:val="000C3EAE"/>
    <w:rsid w:val="000C3FC9"/>
    <w:rsid w:val="000C5C92"/>
    <w:rsid w:val="000C764F"/>
    <w:rsid w:val="000D0FF7"/>
    <w:rsid w:val="000D1EBD"/>
    <w:rsid w:val="000D277F"/>
    <w:rsid w:val="000D2B22"/>
    <w:rsid w:val="000D318D"/>
    <w:rsid w:val="000D38BA"/>
    <w:rsid w:val="000D423D"/>
    <w:rsid w:val="000D4742"/>
    <w:rsid w:val="000D4CB7"/>
    <w:rsid w:val="000D4DE6"/>
    <w:rsid w:val="000D50C3"/>
    <w:rsid w:val="000D5873"/>
    <w:rsid w:val="000D5C03"/>
    <w:rsid w:val="000E0906"/>
    <w:rsid w:val="000E0B9A"/>
    <w:rsid w:val="000E0C79"/>
    <w:rsid w:val="000E127E"/>
    <w:rsid w:val="000E4493"/>
    <w:rsid w:val="000E4F63"/>
    <w:rsid w:val="000E5753"/>
    <w:rsid w:val="000E580B"/>
    <w:rsid w:val="000E5850"/>
    <w:rsid w:val="000E5FEF"/>
    <w:rsid w:val="000E6A03"/>
    <w:rsid w:val="000E6F67"/>
    <w:rsid w:val="000E70A6"/>
    <w:rsid w:val="000F0EA0"/>
    <w:rsid w:val="000F14C5"/>
    <w:rsid w:val="000F19B5"/>
    <w:rsid w:val="000F1B15"/>
    <w:rsid w:val="000F2420"/>
    <w:rsid w:val="000F2522"/>
    <w:rsid w:val="000F3F2F"/>
    <w:rsid w:val="000F406A"/>
    <w:rsid w:val="000F4EB1"/>
    <w:rsid w:val="000F5C05"/>
    <w:rsid w:val="000F6CCF"/>
    <w:rsid w:val="000F71FA"/>
    <w:rsid w:val="000F7311"/>
    <w:rsid w:val="001005ED"/>
    <w:rsid w:val="00100D28"/>
    <w:rsid w:val="001015BC"/>
    <w:rsid w:val="001025FB"/>
    <w:rsid w:val="00102AAC"/>
    <w:rsid w:val="00104600"/>
    <w:rsid w:val="00105738"/>
    <w:rsid w:val="00105A4E"/>
    <w:rsid w:val="00105A56"/>
    <w:rsid w:val="00105F24"/>
    <w:rsid w:val="00106192"/>
    <w:rsid w:val="00106FAB"/>
    <w:rsid w:val="00107A79"/>
    <w:rsid w:val="00107C74"/>
    <w:rsid w:val="001107A3"/>
    <w:rsid w:val="00112509"/>
    <w:rsid w:val="001139C3"/>
    <w:rsid w:val="00113A28"/>
    <w:rsid w:val="00114CFB"/>
    <w:rsid w:val="00115069"/>
    <w:rsid w:val="00115EA2"/>
    <w:rsid w:val="00116DF9"/>
    <w:rsid w:val="001203D6"/>
    <w:rsid w:val="0012088B"/>
    <w:rsid w:val="001208C7"/>
    <w:rsid w:val="00120AB1"/>
    <w:rsid w:val="0012126D"/>
    <w:rsid w:val="001215A5"/>
    <w:rsid w:val="001226AC"/>
    <w:rsid w:val="0012313B"/>
    <w:rsid w:val="00123EF2"/>
    <w:rsid w:val="0012428A"/>
    <w:rsid w:val="00126512"/>
    <w:rsid w:val="00126958"/>
    <w:rsid w:val="00127F5F"/>
    <w:rsid w:val="00131471"/>
    <w:rsid w:val="00131914"/>
    <w:rsid w:val="0013324D"/>
    <w:rsid w:val="0013374F"/>
    <w:rsid w:val="00134953"/>
    <w:rsid w:val="0013512D"/>
    <w:rsid w:val="00135F6F"/>
    <w:rsid w:val="00136D68"/>
    <w:rsid w:val="00137EEF"/>
    <w:rsid w:val="001411E6"/>
    <w:rsid w:val="00141A26"/>
    <w:rsid w:val="00141D27"/>
    <w:rsid w:val="0014317F"/>
    <w:rsid w:val="00143692"/>
    <w:rsid w:val="00144583"/>
    <w:rsid w:val="00145CB1"/>
    <w:rsid w:val="0014608F"/>
    <w:rsid w:val="00147B65"/>
    <w:rsid w:val="001502A9"/>
    <w:rsid w:val="001521CA"/>
    <w:rsid w:val="00152206"/>
    <w:rsid w:val="00153267"/>
    <w:rsid w:val="00153CA3"/>
    <w:rsid w:val="001544DE"/>
    <w:rsid w:val="00154836"/>
    <w:rsid w:val="001555BF"/>
    <w:rsid w:val="00155A11"/>
    <w:rsid w:val="0015621F"/>
    <w:rsid w:val="001570A9"/>
    <w:rsid w:val="0016050F"/>
    <w:rsid w:val="00160779"/>
    <w:rsid w:val="0016246A"/>
    <w:rsid w:val="00162957"/>
    <w:rsid w:val="00162A9F"/>
    <w:rsid w:val="00162EFB"/>
    <w:rsid w:val="00163417"/>
    <w:rsid w:val="00163A3A"/>
    <w:rsid w:val="0016406A"/>
    <w:rsid w:val="001645B9"/>
    <w:rsid w:val="0016521F"/>
    <w:rsid w:val="00165607"/>
    <w:rsid w:val="001662B7"/>
    <w:rsid w:val="00166B22"/>
    <w:rsid w:val="00166D86"/>
    <w:rsid w:val="00170957"/>
    <w:rsid w:val="00171009"/>
    <w:rsid w:val="00171EB1"/>
    <w:rsid w:val="001725CC"/>
    <w:rsid w:val="00172E82"/>
    <w:rsid w:val="00172F65"/>
    <w:rsid w:val="00173CFB"/>
    <w:rsid w:val="001740C3"/>
    <w:rsid w:val="00174105"/>
    <w:rsid w:val="001741CE"/>
    <w:rsid w:val="00174CEF"/>
    <w:rsid w:val="001755B6"/>
    <w:rsid w:val="00175C89"/>
    <w:rsid w:val="00175EC1"/>
    <w:rsid w:val="00176162"/>
    <w:rsid w:val="00176345"/>
    <w:rsid w:val="0018167B"/>
    <w:rsid w:val="00182B1B"/>
    <w:rsid w:val="00182CE3"/>
    <w:rsid w:val="00183656"/>
    <w:rsid w:val="00183DFF"/>
    <w:rsid w:val="001854B9"/>
    <w:rsid w:val="001871CE"/>
    <w:rsid w:val="00187D51"/>
    <w:rsid w:val="00194F5D"/>
    <w:rsid w:val="0019556C"/>
    <w:rsid w:val="0019624D"/>
    <w:rsid w:val="00196C9E"/>
    <w:rsid w:val="00196F36"/>
    <w:rsid w:val="0019782E"/>
    <w:rsid w:val="00197B51"/>
    <w:rsid w:val="001A034C"/>
    <w:rsid w:val="001A12B9"/>
    <w:rsid w:val="001A1A82"/>
    <w:rsid w:val="001A25A3"/>
    <w:rsid w:val="001A2889"/>
    <w:rsid w:val="001A2FC9"/>
    <w:rsid w:val="001A35D1"/>
    <w:rsid w:val="001A4625"/>
    <w:rsid w:val="001A4D83"/>
    <w:rsid w:val="001A6031"/>
    <w:rsid w:val="001A62E6"/>
    <w:rsid w:val="001A6450"/>
    <w:rsid w:val="001A6B3D"/>
    <w:rsid w:val="001B011E"/>
    <w:rsid w:val="001B046B"/>
    <w:rsid w:val="001B098A"/>
    <w:rsid w:val="001B119A"/>
    <w:rsid w:val="001B1825"/>
    <w:rsid w:val="001B1D8B"/>
    <w:rsid w:val="001B1E2A"/>
    <w:rsid w:val="001B4B0E"/>
    <w:rsid w:val="001B4D47"/>
    <w:rsid w:val="001B5953"/>
    <w:rsid w:val="001B6900"/>
    <w:rsid w:val="001B716E"/>
    <w:rsid w:val="001B758A"/>
    <w:rsid w:val="001B7905"/>
    <w:rsid w:val="001C06F2"/>
    <w:rsid w:val="001C0E0C"/>
    <w:rsid w:val="001C1204"/>
    <w:rsid w:val="001C1224"/>
    <w:rsid w:val="001C12BA"/>
    <w:rsid w:val="001C17E8"/>
    <w:rsid w:val="001C2B7B"/>
    <w:rsid w:val="001C341C"/>
    <w:rsid w:val="001C4910"/>
    <w:rsid w:val="001C49CD"/>
    <w:rsid w:val="001C629A"/>
    <w:rsid w:val="001C698F"/>
    <w:rsid w:val="001C70A5"/>
    <w:rsid w:val="001C762C"/>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149"/>
    <w:rsid w:val="001E522A"/>
    <w:rsid w:val="001E562F"/>
    <w:rsid w:val="001E58D7"/>
    <w:rsid w:val="001E5F86"/>
    <w:rsid w:val="001E76B0"/>
    <w:rsid w:val="001E7ADF"/>
    <w:rsid w:val="001F0DF2"/>
    <w:rsid w:val="001F1801"/>
    <w:rsid w:val="001F198D"/>
    <w:rsid w:val="001F3332"/>
    <w:rsid w:val="001F366F"/>
    <w:rsid w:val="001F413B"/>
    <w:rsid w:val="001F5269"/>
    <w:rsid w:val="001F592C"/>
    <w:rsid w:val="001F6B77"/>
    <w:rsid w:val="001F7754"/>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862"/>
    <w:rsid w:val="00213ABB"/>
    <w:rsid w:val="00214AD8"/>
    <w:rsid w:val="00214C83"/>
    <w:rsid w:val="00214D50"/>
    <w:rsid w:val="00214F89"/>
    <w:rsid w:val="0021576C"/>
    <w:rsid w:val="00216E7C"/>
    <w:rsid w:val="00216F68"/>
    <w:rsid w:val="002177F2"/>
    <w:rsid w:val="00220984"/>
    <w:rsid w:val="00221EE5"/>
    <w:rsid w:val="00222F48"/>
    <w:rsid w:val="00223575"/>
    <w:rsid w:val="0022423C"/>
    <w:rsid w:val="002248E1"/>
    <w:rsid w:val="00225640"/>
    <w:rsid w:val="00225919"/>
    <w:rsid w:val="00226006"/>
    <w:rsid w:val="002260EA"/>
    <w:rsid w:val="00226509"/>
    <w:rsid w:val="002267E9"/>
    <w:rsid w:val="002269B9"/>
    <w:rsid w:val="002278D9"/>
    <w:rsid w:val="00227AC6"/>
    <w:rsid w:val="00227BBA"/>
    <w:rsid w:val="0023034C"/>
    <w:rsid w:val="002310EB"/>
    <w:rsid w:val="00231624"/>
    <w:rsid w:val="00231E6D"/>
    <w:rsid w:val="0023293D"/>
    <w:rsid w:val="00232EF2"/>
    <w:rsid w:val="00234191"/>
    <w:rsid w:val="00234954"/>
    <w:rsid w:val="00234CD5"/>
    <w:rsid w:val="00234DE0"/>
    <w:rsid w:val="00234EF6"/>
    <w:rsid w:val="00235004"/>
    <w:rsid w:val="0023534E"/>
    <w:rsid w:val="002366BD"/>
    <w:rsid w:val="0023739E"/>
    <w:rsid w:val="0023765D"/>
    <w:rsid w:val="00241336"/>
    <w:rsid w:val="002417D4"/>
    <w:rsid w:val="00241C01"/>
    <w:rsid w:val="00241C7E"/>
    <w:rsid w:val="00242672"/>
    <w:rsid w:val="00243084"/>
    <w:rsid w:val="00244E63"/>
    <w:rsid w:val="00244F52"/>
    <w:rsid w:val="0024639E"/>
    <w:rsid w:val="00246AE7"/>
    <w:rsid w:val="002471FF"/>
    <w:rsid w:val="00247666"/>
    <w:rsid w:val="00250C59"/>
    <w:rsid w:val="002511C6"/>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1C1"/>
    <w:rsid w:val="00266B10"/>
    <w:rsid w:val="00266F93"/>
    <w:rsid w:val="00267706"/>
    <w:rsid w:val="0027107A"/>
    <w:rsid w:val="00273CF4"/>
    <w:rsid w:val="00273E14"/>
    <w:rsid w:val="0027576C"/>
    <w:rsid w:val="00275D92"/>
    <w:rsid w:val="0027618D"/>
    <w:rsid w:val="00280615"/>
    <w:rsid w:val="0028153D"/>
    <w:rsid w:val="00281715"/>
    <w:rsid w:val="00281ABF"/>
    <w:rsid w:val="00281B68"/>
    <w:rsid w:val="00281D23"/>
    <w:rsid w:val="002823B9"/>
    <w:rsid w:val="002827F4"/>
    <w:rsid w:val="00282DC2"/>
    <w:rsid w:val="0028408A"/>
    <w:rsid w:val="0028435F"/>
    <w:rsid w:val="00284B00"/>
    <w:rsid w:val="00285516"/>
    <w:rsid w:val="002857D8"/>
    <w:rsid w:val="00286092"/>
    <w:rsid w:val="002863EA"/>
    <w:rsid w:val="00286F64"/>
    <w:rsid w:val="00286F9F"/>
    <w:rsid w:val="0028727D"/>
    <w:rsid w:val="00290A42"/>
    <w:rsid w:val="0029115F"/>
    <w:rsid w:val="00291AF0"/>
    <w:rsid w:val="00291E10"/>
    <w:rsid w:val="0029222F"/>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A7891"/>
    <w:rsid w:val="002B0294"/>
    <w:rsid w:val="002B06C2"/>
    <w:rsid w:val="002B168E"/>
    <w:rsid w:val="002B1ACD"/>
    <w:rsid w:val="002B1CB7"/>
    <w:rsid w:val="002B1D9E"/>
    <w:rsid w:val="002B314B"/>
    <w:rsid w:val="002B314D"/>
    <w:rsid w:val="002B3306"/>
    <w:rsid w:val="002B44BC"/>
    <w:rsid w:val="002B56C3"/>
    <w:rsid w:val="002B5B61"/>
    <w:rsid w:val="002B5FF7"/>
    <w:rsid w:val="002B619F"/>
    <w:rsid w:val="002B62D1"/>
    <w:rsid w:val="002B6A47"/>
    <w:rsid w:val="002B6AD7"/>
    <w:rsid w:val="002B7737"/>
    <w:rsid w:val="002B789B"/>
    <w:rsid w:val="002B7AE9"/>
    <w:rsid w:val="002C0720"/>
    <w:rsid w:val="002C1A44"/>
    <w:rsid w:val="002C2807"/>
    <w:rsid w:val="002C38B7"/>
    <w:rsid w:val="002C3C8F"/>
    <w:rsid w:val="002C3E30"/>
    <w:rsid w:val="002C53A2"/>
    <w:rsid w:val="002C55E2"/>
    <w:rsid w:val="002C5874"/>
    <w:rsid w:val="002C5C3B"/>
    <w:rsid w:val="002C5C46"/>
    <w:rsid w:val="002C5C55"/>
    <w:rsid w:val="002C632A"/>
    <w:rsid w:val="002C63C0"/>
    <w:rsid w:val="002C77B9"/>
    <w:rsid w:val="002C7FC4"/>
    <w:rsid w:val="002D02D5"/>
    <w:rsid w:val="002D0C5D"/>
    <w:rsid w:val="002D1D2F"/>
    <w:rsid w:val="002D2187"/>
    <w:rsid w:val="002D2190"/>
    <w:rsid w:val="002D45D9"/>
    <w:rsid w:val="002D4DAA"/>
    <w:rsid w:val="002D6838"/>
    <w:rsid w:val="002D7E03"/>
    <w:rsid w:val="002E0DAF"/>
    <w:rsid w:val="002E1D1E"/>
    <w:rsid w:val="002E3A1A"/>
    <w:rsid w:val="002E3FF3"/>
    <w:rsid w:val="002E5370"/>
    <w:rsid w:val="002E5A8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6494"/>
    <w:rsid w:val="002F735C"/>
    <w:rsid w:val="003002BE"/>
    <w:rsid w:val="00300522"/>
    <w:rsid w:val="003006DC"/>
    <w:rsid w:val="003008EA"/>
    <w:rsid w:val="00301620"/>
    <w:rsid w:val="0030284F"/>
    <w:rsid w:val="00304107"/>
    <w:rsid w:val="003042EC"/>
    <w:rsid w:val="00304B93"/>
    <w:rsid w:val="00305DCE"/>
    <w:rsid w:val="003061EC"/>
    <w:rsid w:val="003070E9"/>
    <w:rsid w:val="00307318"/>
    <w:rsid w:val="00307ABF"/>
    <w:rsid w:val="00307EFF"/>
    <w:rsid w:val="00311B63"/>
    <w:rsid w:val="00311F82"/>
    <w:rsid w:val="00311FB0"/>
    <w:rsid w:val="00312999"/>
    <w:rsid w:val="00313F72"/>
    <w:rsid w:val="00313FF4"/>
    <w:rsid w:val="003142BC"/>
    <w:rsid w:val="00314DA2"/>
    <w:rsid w:val="0031542A"/>
    <w:rsid w:val="003156E1"/>
    <w:rsid w:val="00315FF0"/>
    <w:rsid w:val="00316A25"/>
    <w:rsid w:val="00316A5B"/>
    <w:rsid w:val="00317191"/>
    <w:rsid w:val="003176B5"/>
    <w:rsid w:val="0032147D"/>
    <w:rsid w:val="0032176F"/>
    <w:rsid w:val="003218EA"/>
    <w:rsid w:val="00321AC7"/>
    <w:rsid w:val="0032216D"/>
    <w:rsid w:val="00323020"/>
    <w:rsid w:val="00324224"/>
    <w:rsid w:val="0032442A"/>
    <w:rsid w:val="003244B8"/>
    <w:rsid w:val="003247EC"/>
    <w:rsid w:val="00325380"/>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3E3F"/>
    <w:rsid w:val="00334139"/>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29D4"/>
    <w:rsid w:val="00353AD5"/>
    <w:rsid w:val="0035554C"/>
    <w:rsid w:val="003562DA"/>
    <w:rsid w:val="00357157"/>
    <w:rsid w:val="00357A10"/>
    <w:rsid w:val="0036169F"/>
    <w:rsid w:val="003617B9"/>
    <w:rsid w:val="003617EC"/>
    <w:rsid w:val="0036262E"/>
    <w:rsid w:val="00363363"/>
    <w:rsid w:val="00363AFF"/>
    <w:rsid w:val="0036411A"/>
    <w:rsid w:val="00364385"/>
    <w:rsid w:val="0036577C"/>
    <w:rsid w:val="00365A4C"/>
    <w:rsid w:val="00365F8B"/>
    <w:rsid w:val="00366172"/>
    <w:rsid w:val="003663EB"/>
    <w:rsid w:val="00366EE1"/>
    <w:rsid w:val="00366FDE"/>
    <w:rsid w:val="003703CC"/>
    <w:rsid w:val="003709E7"/>
    <w:rsid w:val="00370CF9"/>
    <w:rsid w:val="00370FCF"/>
    <w:rsid w:val="00371300"/>
    <w:rsid w:val="00371360"/>
    <w:rsid w:val="003713BE"/>
    <w:rsid w:val="00371722"/>
    <w:rsid w:val="003719EE"/>
    <w:rsid w:val="00371DB8"/>
    <w:rsid w:val="00371E01"/>
    <w:rsid w:val="0037207C"/>
    <w:rsid w:val="00372684"/>
    <w:rsid w:val="003731D5"/>
    <w:rsid w:val="00373990"/>
    <w:rsid w:val="00373FE4"/>
    <w:rsid w:val="0037532E"/>
    <w:rsid w:val="003765BB"/>
    <w:rsid w:val="00376B5A"/>
    <w:rsid w:val="00376C18"/>
    <w:rsid w:val="0037757F"/>
    <w:rsid w:val="00380111"/>
    <w:rsid w:val="00380251"/>
    <w:rsid w:val="00382004"/>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96FA2"/>
    <w:rsid w:val="003A00EB"/>
    <w:rsid w:val="003A36B0"/>
    <w:rsid w:val="003A3A19"/>
    <w:rsid w:val="003A4B73"/>
    <w:rsid w:val="003A5217"/>
    <w:rsid w:val="003A677F"/>
    <w:rsid w:val="003A6AF0"/>
    <w:rsid w:val="003B0CBB"/>
    <w:rsid w:val="003B136C"/>
    <w:rsid w:val="003B1680"/>
    <w:rsid w:val="003B19A8"/>
    <w:rsid w:val="003B1AEE"/>
    <w:rsid w:val="003B220B"/>
    <w:rsid w:val="003B2CA2"/>
    <w:rsid w:val="003B308F"/>
    <w:rsid w:val="003B30AE"/>
    <w:rsid w:val="003B470F"/>
    <w:rsid w:val="003B4869"/>
    <w:rsid w:val="003B491A"/>
    <w:rsid w:val="003B514F"/>
    <w:rsid w:val="003B5D2D"/>
    <w:rsid w:val="003B67E0"/>
    <w:rsid w:val="003B694A"/>
    <w:rsid w:val="003B6B17"/>
    <w:rsid w:val="003B7130"/>
    <w:rsid w:val="003B7697"/>
    <w:rsid w:val="003C00B1"/>
    <w:rsid w:val="003C14E5"/>
    <w:rsid w:val="003C36F0"/>
    <w:rsid w:val="003C46EB"/>
    <w:rsid w:val="003C4BC2"/>
    <w:rsid w:val="003C691A"/>
    <w:rsid w:val="003C74EC"/>
    <w:rsid w:val="003C7AF8"/>
    <w:rsid w:val="003D0828"/>
    <w:rsid w:val="003D181E"/>
    <w:rsid w:val="003D28EF"/>
    <w:rsid w:val="003D3150"/>
    <w:rsid w:val="003D4F5E"/>
    <w:rsid w:val="003D5486"/>
    <w:rsid w:val="003D5935"/>
    <w:rsid w:val="003D5D2D"/>
    <w:rsid w:val="003D6237"/>
    <w:rsid w:val="003D7A88"/>
    <w:rsid w:val="003E1515"/>
    <w:rsid w:val="003E1580"/>
    <w:rsid w:val="003E1815"/>
    <w:rsid w:val="003E2120"/>
    <w:rsid w:val="003E2122"/>
    <w:rsid w:val="003E23FE"/>
    <w:rsid w:val="003E2ED5"/>
    <w:rsid w:val="003E321F"/>
    <w:rsid w:val="003E3735"/>
    <w:rsid w:val="003E3792"/>
    <w:rsid w:val="003E3A10"/>
    <w:rsid w:val="003E442A"/>
    <w:rsid w:val="003E4B48"/>
    <w:rsid w:val="003E588B"/>
    <w:rsid w:val="003E6486"/>
    <w:rsid w:val="003E6A55"/>
    <w:rsid w:val="003E6AAF"/>
    <w:rsid w:val="003E7CEF"/>
    <w:rsid w:val="003F000C"/>
    <w:rsid w:val="003F0110"/>
    <w:rsid w:val="003F01F0"/>
    <w:rsid w:val="003F0400"/>
    <w:rsid w:val="003F0846"/>
    <w:rsid w:val="003F0B14"/>
    <w:rsid w:val="003F0DEB"/>
    <w:rsid w:val="003F14B2"/>
    <w:rsid w:val="003F1E06"/>
    <w:rsid w:val="003F21FD"/>
    <w:rsid w:val="003F376F"/>
    <w:rsid w:val="003F3C29"/>
    <w:rsid w:val="003F3E67"/>
    <w:rsid w:val="003F4B0F"/>
    <w:rsid w:val="003F5867"/>
    <w:rsid w:val="003F5DC5"/>
    <w:rsid w:val="003F6766"/>
    <w:rsid w:val="003F7046"/>
    <w:rsid w:val="003F7CB4"/>
    <w:rsid w:val="0040079F"/>
    <w:rsid w:val="00402195"/>
    <w:rsid w:val="00402945"/>
    <w:rsid w:val="00402D83"/>
    <w:rsid w:val="0040333F"/>
    <w:rsid w:val="004036E5"/>
    <w:rsid w:val="004044AA"/>
    <w:rsid w:val="004059B1"/>
    <w:rsid w:val="00405A60"/>
    <w:rsid w:val="00405F3C"/>
    <w:rsid w:val="00407188"/>
    <w:rsid w:val="00407E6E"/>
    <w:rsid w:val="00410D84"/>
    <w:rsid w:val="004121B5"/>
    <w:rsid w:val="00412627"/>
    <w:rsid w:val="00412DF3"/>
    <w:rsid w:val="00412EBE"/>
    <w:rsid w:val="0041315E"/>
    <w:rsid w:val="00415767"/>
    <w:rsid w:val="0041586D"/>
    <w:rsid w:val="00416449"/>
    <w:rsid w:val="00416763"/>
    <w:rsid w:val="0041678F"/>
    <w:rsid w:val="00420788"/>
    <w:rsid w:val="00421546"/>
    <w:rsid w:val="00423924"/>
    <w:rsid w:val="00423B7A"/>
    <w:rsid w:val="00425D36"/>
    <w:rsid w:val="00425F7C"/>
    <w:rsid w:val="0042658F"/>
    <w:rsid w:val="00427465"/>
    <w:rsid w:val="00427DF1"/>
    <w:rsid w:val="0043031E"/>
    <w:rsid w:val="00430643"/>
    <w:rsid w:val="004308AA"/>
    <w:rsid w:val="00431F56"/>
    <w:rsid w:val="00433225"/>
    <w:rsid w:val="004335B4"/>
    <w:rsid w:val="00433632"/>
    <w:rsid w:val="0043456D"/>
    <w:rsid w:val="004346A8"/>
    <w:rsid w:val="00434A62"/>
    <w:rsid w:val="004366BB"/>
    <w:rsid w:val="00436C85"/>
    <w:rsid w:val="004371B4"/>
    <w:rsid w:val="004376F1"/>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16A7"/>
    <w:rsid w:val="00451A23"/>
    <w:rsid w:val="0045263C"/>
    <w:rsid w:val="00452938"/>
    <w:rsid w:val="004534C4"/>
    <w:rsid w:val="0045415B"/>
    <w:rsid w:val="00454440"/>
    <w:rsid w:val="00455089"/>
    <w:rsid w:val="00455A47"/>
    <w:rsid w:val="00455E3D"/>
    <w:rsid w:val="00455FE3"/>
    <w:rsid w:val="004565AE"/>
    <w:rsid w:val="004568C7"/>
    <w:rsid w:val="00456CA8"/>
    <w:rsid w:val="004572EC"/>
    <w:rsid w:val="00457E24"/>
    <w:rsid w:val="00457F98"/>
    <w:rsid w:val="004605C8"/>
    <w:rsid w:val="00460C4C"/>
    <w:rsid w:val="004611A2"/>
    <w:rsid w:val="00461B5D"/>
    <w:rsid w:val="004622A5"/>
    <w:rsid w:val="00462B9C"/>
    <w:rsid w:val="00463A49"/>
    <w:rsid w:val="00463DC7"/>
    <w:rsid w:val="00464385"/>
    <w:rsid w:val="004653F8"/>
    <w:rsid w:val="004654D5"/>
    <w:rsid w:val="00465665"/>
    <w:rsid w:val="004668ED"/>
    <w:rsid w:val="00466FE5"/>
    <w:rsid w:val="004674AE"/>
    <w:rsid w:val="00470129"/>
    <w:rsid w:val="0047018E"/>
    <w:rsid w:val="00470B61"/>
    <w:rsid w:val="00471A95"/>
    <w:rsid w:val="00471EAA"/>
    <w:rsid w:val="004735D8"/>
    <w:rsid w:val="004744BA"/>
    <w:rsid w:val="00474667"/>
    <w:rsid w:val="00474A90"/>
    <w:rsid w:val="004750F8"/>
    <w:rsid w:val="00475134"/>
    <w:rsid w:val="0047563E"/>
    <w:rsid w:val="0047620D"/>
    <w:rsid w:val="0047631B"/>
    <w:rsid w:val="00477866"/>
    <w:rsid w:val="00477C0E"/>
    <w:rsid w:val="004819E8"/>
    <w:rsid w:val="00482218"/>
    <w:rsid w:val="0048228B"/>
    <w:rsid w:val="00482337"/>
    <w:rsid w:val="004824B9"/>
    <w:rsid w:val="00483637"/>
    <w:rsid w:val="00483A4C"/>
    <w:rsid w:val="00483BF3"/>
    <w:rsid w:val="00483E4E"/>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2FF"/>
    <w:rsid w:val="004A1D50"/>
    <w:rsid w:val="004A283A"/>
    <w:rsid w:val="004A2D5C"/>
    <w:rsid w:val="004A44B3"/>
    <w:rsid w:val="004A44D9"/>
    <w:rsid w:val="004A4AB8"/>
    <w:rsid w:val="004A5014"/>
    <w:rsid w:val="004A50D0"/>
    <w:rsid w:val="004A55C4"/>
    <w:rsid w:val="004A5DB3"/>
    <w:rsid w:val="004A623E"/>
    <w:rsid w:val="004A660B"/>
    <w:rsid w:val="004A6C78"/>
    <w:rsid w:val="004A6F6A"/>
    <w:rsid w:val="004B00D3"/>
    <w:rsid w:val="004B0EF8"/>
    <w:rsid w:val="004B17C1"/>
    <w:rsid w:val="004B18CD"/>
    <w:rsid w:val="004B1D84"/>
    <w:rsid w:val="004B1EBA"/>
    <w:rsid w:val="004B24BB"/>
    <w:rsid w:val="004B2512"/>
    <w:rsid w:val="004B384C"/>
    <w:rsid w:val="004B44EB"/>
    <w:rsid w:val="004B4A15"/>
    <w:rsid w:val="004B4D9E"/>
    <w:rsid w:val="004B595B"/>
    <w:rsid w:val="004B6498"/>
    <w:rsid w:val="004B6F36"/>
    <w:rsid w:val="004B763C"/>
    <w:rsid w:val="004C089A"/>
    <w:rsid w:val="004C229D"/>
    <w:rsid w:val="004C23B0"/>
    <w:rsid w:val="004C2DBA"/>
    <w:rsid w:val="004C37EC"/>
    <w:rsid w:val="004C43CB"/>
    <w:rsid w:val="004C4A58"/>
    <w:rsid w:val="004C5044"/>
    <w:rsid w:val="004C57FE"/>
    <w:rsid w:val="004C5F79"/>
    <w:rsid w:val="004C75E0"/>
    <w:rsid w:val="004C78BB"/>
    <w:rsid w:val="004C7ADD"/>
    <w:rsid w:val="004C7DE6"/>
    <w:rsid w:val="004D0167"/>
    <w:rsid w:val="004D025C"/>
    <w:rsid w:val="004D05CC"/>
    <w:rsid w:val="004D09C4"/>
    <w:rsid w:val="004D0DFE"/>
    <w:rsid w:val="004D1028"/>
    <w:rsid w:val="004D2089"/>
    <w:rsid w:val="004D24B9"/>
    <w:rsid w:val="004D2E3C"/>
    <w:rsid w:val="004D2F8B"/>
    <w:rsid w:val="004D2FEF"/>
    <w:rsid w:val="004D4202"/>
    <w:rsid w:val="004D4265"/>
    <w:rsid w:val="004D4C29"/>
    <w:rsid w:val="004D4EE7"/>
    <w:rsid w:val="004D511A"/>
    <w:rsid w:val="004D5322"/>
    <w:rsid w:val="004D55E8"/>
    <w:rsid w:val="004D74B3"/>
    <w:rsid w:val="004D7D9C"/>
    <w:rsid w:val="004E03EA"/>
    <w:rsid w:val="004E38F3"/>
    <w:rsid w:val="004E4720"/>
    <w:rsid w:val="004E4C95"/>
    <w:rsid w:val="004E68BD"/>
    <w:rsid w:val="004E6E9D"/>
    <w:rsid w:val="004E7018"/>
    <w:rsid w:val="004E79C8"/>
    <w:rsid w:val="004E7EDE"/>
    <w:rsid w:val="004E7EFD"/>
    <w:rsid w:val="004F134F"/>
    <w:rsid w:val="004F1769"/>
    <w:rsid w:val="004F237B"/>
    <w:rsid w:val="004F2DA0"/>
    <w:rsid w:val="004F3914"/>
    <w:rsid w:val="004F4F02"/>
    <w:rsid w:val="004F5242"/>
    <w:rsid w:val="004F52A1"/>
    <w:rsid w:val="004F5A6F"/>
    <w:rsid w:val="004F5AA3"/>
    <w:rsid w:val="004F63EF"/>
    <w:rsid w:val="004F65D0"/>
    <w:rsid w:val="004F6C1F"/>
    <w:rsid w:val="00500CE2"/>
    <w:rsid w:val="0050115E"/>
    <w:rsid w:val="0050121E"/>
    <w:rsid w:val="00501956"/>
    <w:rsid w:val="00502E8C"/>
    <w:rsid w:val="00502FAB"/>
    <w:rsid w:val="00505101"/>
    <w:rsid w:val="005052AE"/>
    <w:rsid w:val="005053BE"/>
    <w:rsid w:val="00506ADD"/>
    <w:rsid w:val="005076DA"/>
    <w:rsid w:val="00510239"/>
    <w:rsid w:val="00510487"/>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25C"/>
    <w:rsid w:val="00536760"/>
    <w:rsid w:val="005371DB"/>
    <w:rsid w:val="0053752B"/>
    <w:rsid w:val="005376B6"/>
    <w:rsid w:val="00537976"/>
    <w:rsid w:val="00537FFA"/>
    <w:rsid w:val="00541D37"/>
    <w:rsid w:val="00541DB9"/>
    <w:rsid w:val="00542C7F"/>
    <w:rsid w:val="00543E07"/>
    <w:rsid w:val="005440DB"/>
    <w:rsid w:val="00544136"/>
    <w:rsid w:val="00544383"/>
    <w:rsid w:val="00544704"/>
    <w:rsid w:val="00545A24"/>
    <w:rsid w:val="005463F2"/>
    <w:rsid w:val="00546DAC"/>
    <w:rsid w:val="00547948"/>
    <w:rsid w:val="00547C37"/>
    <w:rsid w:val="0055028A"/>
    <w:rsid w:val="005512EA"/>
    <w:rsid w:val="00551CE2"/>
    <w:rsid w:val="00551E86"/>
    <w:rsid w:val="005523DF"/>
    <w:rsid w:val="005525AF"/>
    <w:rsid w:val="00552CA6"/>
    <w:rsid w:val="005532E4"/>
    <w:rsid w:val="00553559"/>
    <w:rsid w:val="005545B6"/>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ECF"/>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3E7"/>
    <w:rsid w:val="00584D98"/>
    <w:rsid w:val="005858B2"/>
    <w:rsid w:val="00585D94"/>
    <w:rsid w:val="00586E7D"/>
    <w:rsid w:val="0059196F"/>
    <w:rsid w:val="005928FA"/>
    <w:rsid w:val="00592BBC"/>
    <w:rsid w:val="005954A8"/>
    <w:rsid w:val="0059652D"/>
    <w:rsid w:val="00597328"/>
    <w:rsid w:val="00597340"/>
    <w:rsid w:val="005A03DE"/>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1EE8"/>
    <w:rsid w:val="005B2C30"/>
    <w:rsid w:val="005B2DC0"/>
    <w:rsid w:val="005B3E4E"/>
    <w:rsid w:val="005B48F5"/>
    <w:rsid w:val="005B4A5A"/>
    <w:rsid w:val="005B5C35"/>
    <w:rsid w:val="005B65B3"/>
    <w:rsid w:val="005B7728"/>
    <w:rsid w:val="005B7A4F"/>
    <w:rsid w:val="005C1C81"/>
    <w:rsid w:val="005C226C"/>
    <w:rsid w:val="005C22B1"/>
    <w:rsid w:val="005C4923"/>
    <w:rsid w:val="005C4C5C"/>
    <w:rsid w:val="005C4D1D"/>
    <w:rsid w:val="005C5549"/>
    <w:rsid w:val="005C62A6"/>
    <w:rsid w:val="005C697F"/>
    <w:rsid w:val="005C7EBE"/>
    <w:rsid w:val="005D0176"/>
    <w:rsid w:val="005D06BF"/>
    <w:rsid w:val="005D0EED"/>
    <w:rsid w:val="005D165F"/>
    <w:rsid w:val="005D1CEB"/>
    <w:rsid w:val="005D1FA6"/>
    <w:rsid w:val="005D2712"/>
    <w:rsid w:val="005D2A68"/>
    <w:rsid w:val="005D2D01"/>
    <w:rsid w:val="005D31F1"/>
    <w:rsid w:val="005D34DF"/>
    <w:rsid w:val="005D359D"/>
    <w:rsid w:val="005D4049"/>
    <w:rsid w:val="005D674B"/>
    <w:rsid w:val="005D72AE"/>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5504"/>
    <w:rsid w:val="005E6A65"/>
    <w:rsid w:val="005E704A"/>
    <w:rsid w:val="005F01AD"/>
    <w:rsid w:val="005F2196"/>
    <w:rsid w:val="005F4A8E"/>
    <w:rsid w:val="005F53BE"/>
    <w:rsid w:val="005F6FD0"/>
    <w:rsid w:val="005F7BCC"/>
    <w:rsid w:val="005F7CAA"/>
    <w:rsid w:val="00600921"/>
    <w:rsid w:val="006020E4"/>
    <w:rsid w:val="00602373"/>
    <w:rsid w:val="0060246D"/>
    <w:rsid w:val="00602E97"/>
    <w:rsid w:val="006033C4"/>
    <w:rsid w:val="00604068"/>
    <w:rsid w:val="006046C6"/>
    <w:rsid w:val="00604754"/>
    <w:rsid w:val="00605325"/>
    <w:rsid w:val="0060556C"/>
    <w:rsid w:val="00605BBC"/>
    <w:rsid w:val="00605D0B"/>
    <w:rsid w:val="00605E41"/>
    <w:rsid w:val="006060A4"/>
    <w:rsid w:val="00606146"/>
    <w:rsid w:val="00607063"/>
    <w:rsid w:val="00607576"/>
    <w:rsid w:val="00607F50"/>
    <w:rsid w:val="00607FF2"/>
    <w:rsid w:val="006119D3"/>
    <w:rsid w:val="006119D9"/>
    <w:rsid w:val="00612104"/>
    <w:rsid w:val="00614791"/>
    <w:rsid w:val="00614F1E"/>
    <w:rsid w:val="0061544D"/>
    <w:rsid w:val="006157DC"/>
    <w:rsid w:val="006168B1"/>
    <w:rsid w:val="00616BEB"/>
    <w:rsid w:val="00617354"/>
    <w:rsid w:val="006174CE"/>
    <w:rsid w:val="00617C50"/>
    <w:rsid w:val="006209AB"/>
    <w:rsid w:val="00620D18"/>
    <w:rsid w:val="00620FBB"/>
    <w:rsid w:val="00621487"/>
    <w:rsid w:val="00622396"/>
    <w:rsid w:val="00622973"/>
    <w:rsid w:val="00622D26"/>
    <w:rsid w:val="006239A8"/>
    <w:rsid w:val="00623BC3"/>
    <w:rsid w:val="00624851"/>
    <w:rsid w:val="006257A8"/>
    <w:rsid w:val="00626459"/>
    <w:rsid w:val="00626FA8"/>
    <w:rsid w:val="00627225"/>
    <w:rsid w:val="00627F20"/>
    <w:rsid w:val="00627FBB"/>
    <w:rsid w:val="006301EC"/>
    <w:rsid w:val="00630579"/>
    <w:rsid w:val="00632BA6"/>
    <w:rsid w:val="00632F2C"/>
    <w:rsid w:val="00632F54"/>
    <w:rsid w:val="00633B1B"/>
    <w:rsid w:val="00634A10"/>
    <w:rsid w:val="00634CDD"/>
    <w:rsid w:val="00635684"/>
    <w:rsid w:val="00636610"/>
    <w:rsid w:val="00636982"/>
    <w:rsid w:val="006369C2"/>
    <w:rsid w:val="00637307"/>
    <w:rsid w:val="00637725"/>
    <w:rsid w:val="00637DB8"/>
    <w:rsid w:val="00637F56"/>
    <w:rsid w:val="006415BA"/>
    <w:rsid w:val="00641D56"/>
    <w:rsid w:val="0064209E"/>
    <w:rsid w:val="00642BFC"/>
    <w:rsid w:val="00643164"/>
    <w:rsid w:val="00645792"/>
    <w:rsid w:val="00645A3A"/>
    <w:rsid w:val="006461F5"/>
    <w:rsid w:val="00651B3C"/>
    <w:rsid w:val="0065248B"/>
    <w:rsid w:val="006534FE"/>
    <w:rsid w:val="00653500"/>
    <w:rsid w:val="0065367D"/>
    <w:rsid w:val="00653D49"/>
    <w:rsid w:val="00654593"/>
    <w:rsid w:val="0065494B"/>
    <w:rsid w:val="006549E7"/>
    <w:rsid w:val="006555EE"/>
    <w:rsid w:val="00656BEC"/>
    <w:rsid w:val="006576D1"/>
    <w:rsid w:val="006576E2"/>
    <w:rsid w:val="00660512"/>
    <w:rsid w:val="00660A8E"/>
    <w:rsid w:val="00660FD3"/>
    <w:rsid w:val="006615AC"/>
    <w:rsid w:val="0066258F"/>
    <w:rsid w:val="00662841"/>
    <w:rsid w:val="00662BEA"/>
    <w:rsid w:val="00663629"/>
    <w:rsid w:val="0066364C"/>
    <w:rsid w:val="0066392C"/>
    <w:rsid w:val="006640E7"/>
    <w:rsid w:val="00664323"/>
    <w:rsid w:val="00664995"/>
    <w:rsid w:val="006649AC"/>
    <w:rsid w:val="00666C7D"/>
    <w:rsid w:val="00666E03"/>
    <w:rsid w:val="00667406"/>
    <w:rsid w:val="0066772B"/>
    <w:rsid w:val="006700ED"/>
    <w:rsid w:val="00670448"/>
    <w:rsid w:val="006708BF"/>
    <w:rsid w:val="00670C97"/>
    <w:rsid w:val="00670CC4"/>
    <w:rsid w:val="00671CBB"/>
    <w:rsid w:val="00671F69"/>
    <w:rsid w:val="00672B1A"/>
    <w:rsid w:val="00672CB1"/>
    <w:rsid w:val="00672E4D"/>
    <w:rsid w:val="00672E77"/>
    <w:rsid w:val="00673AA4"/>
    <w:rsid w:val="00673E11"/>
    <w:rsid w:val="0067432C"/>
    <w:rsid w:val="00674ACE"/>
    <w:rsid w:val="00674B81"/>
    <w:rsid w:val="00675307"/>
    <w:rsid w:val="00675493"/>
    <w:rsid w:val="006754A7"/>
    <w:rsid w:val="00675585"/>
    <w:rsid w:val="00675708"/>
    <w:rsid w:val="00676493"/>
    <w:rsid w:val="00676C59"/>
    <w:rsid w:val="00677285"/>
    <w:rsid w:val="00677ADE"/>
    <w:rsid w:val="00680657"/>
    <w:rsid w:val="006816D4"/>
    <w:rsid w:val="006826A9"/>
    <w:rsid w:val="00683358"/>
    <w:rsid w:val="00683C27"/>
    <w:rsid w:val="00683D9C"/>
    <w:rsid w:val="00685163"/>
    <w:rsid w:val="00685237"/>
    <w:rsid w:val="006854BF"/>
    <w:rsid w:val="00685769"/>
    <w:rsid w:val="00687677"/>
    <w:rsid w:val="006877B7"/>
    <w:rsid w:val="00691724"/>
    <w:rsid w:val="00691A98"/>
    <w:rsid w:val="0069259B"/>
    <w:rsid w:val="0069263C"/>
    <w:rsid w:val="0069287F"/>
    <w:rsid w:val="006934E4"/>
    <w:rsid w:val="0069408F"/>
    <w:rsid w:val="00694D60"/>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2ECB"/>
    <w:rsid w:val="006B31EF"/>
    <w:rsid w:val="006B477F"/>
    <w:rsid w:val="006B4887"/>
    <w:rsid w:val="006B4A30"/>
    <w:rsid w:val="006B4F7B"/>
    <w:rsid w:val="006B51A4"/>
    <w:rsid w:val="006B55F8"/>
    <w:rsid w:val="006B5875"/>
    <w:rsid w:val="006B62F2"/>
    <w:rsid w:val="006B68C2"/>
    <w:rsid w:val="006B6CB7"/>
    <w:rsid w:val="006B6F12"/>
    <w:rsid w:val="006B750F"/>
    <w:rsid w:val="006B77E4"/>
    <w:rsid w:val="006C0009"/>
    <w:rsid w:val="006C0143"/>
    <w:rsid w:val="006C13FD"/>
    <w:rsid w:val="006C1688"/>
    <w:rsid w:val="006C27B6"/>
    <w:rsid w:val="006C31FD"/>
    <w:rsid w:val="006C379F"/>
    <w:rsid w:val="006C38D7"/>
    <w:rsid w:val="006C3920"/>
    <w:rsid w:val="006C3A42"/>
    <w:rsid w:val="006C3A81"/>
    <w:rsid w:val="006C3B93"/>
    <w:rsid w:val="006C46F8"/>
    <w:rsid w:val="006C567D"/>
    <w:rsid w:val="006C56E0"/>
    <w:rsid w:val="006C63A8"/>
    <w:rsid w:val="006C6621"/>
    <w:rsid w:val="006C66B0"/>
    <w:rsid w:val="006D06FF"/>
    <w:rsid w:val="006D12C0"/>
    <w:rsid w:val="006D14E1"/>
    <w:rsid w:val="006D2259"/>
    <w:rsid w:val="006D24CE"/>
    <w:rsid w:val="006D266B"/>
    <w:rsid w:val="006D26BC"/>
    <w:rsid w:val="006D371C"/>
    <w:rsid w:val="006D4637"/>
    <w:rsid w:val="006D487E"/>
    <w:rsid w:val="006D5019"/>
    <w:rsid w:val="006D5A7A"/>
    <w:rsid w:val="006D6261"/>
    <w:rsid w:val="006D6CEA"/>
    <w:rsid w:val="006D70CD"/>
    <w:rsid w:val="006D789C"/>
    <w:rsid w:val="006E0FF3"/>
    <w:rsid w:val="006E102E"/>
    <w:rsid w:val="006E2090"/>
    <w:rsid w:val="006E258C"/>
    <w:rsid w:val="006E2AA4"/>
    <w:rsid w:val="006E3433"/>
    <w:rsid w:val="006E426D"/>
    <w:rsid w:val="006E5A88"/>
    <w:rsid w:val="006E67B2"/>
    <w:rsid w:val="006E6F50"/>
    <w:rsid w:val="006E730F"/>
    <w:rsid w:val="006E73A6"/>
    <w:rsid w:val="006E7FB1"/>
    <w:rsid w:val="006F1065"/>
    <w:rsid w:val="006F1A83"/>
    <w:rsid w:val="006F2325"/>
    <w:rsid w:val="006F27EE"/>
    <w:rsid w:val="006F30AF"/>
    <w:rsid w:val="006F32CA"/>
    <w:rsid w:val="006F4330"/>
    <w:rsid w:val="006F478B"/>
    <w:rsid w:val="006F4AF1"/>
    <w:rsid w:val="006F564F"/>
    <w:rsid w:val="006F57F6"/>
    <w:rsid w:val="006F5A7A"/>
    <w:rsid w:val="006F6C94"/>
    <w:rsid w:val="007012F8"/>
    <w:rsid w:val="00702EE8"/>
    <w:rsid w:val="007031B8"/>
    <w:rsid w:val="0070378E"/>
    <w:rsid w:val="00703C3F"/>
    <w:rsid w:val="0070418E"/>
    <w:rsid w:val="00704439"/>
    <w:rsid w:val="007051CD"/>
    <w:rsid w:val="0070575A"/>
    <w:rsid w:val="00705792"/>
    <w:rsid w:val="00705E15"/>
    <w:rsid w:val="007060ED"/>
    <w:rsid w:val="0070698C"/>
    <w:rsid w:val="00706B11"/>
    <w:rsid w:val="007072C4"/>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17CFD"/>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55F"/>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70"/>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4DDF"/>
    <w:rsid w:val="00765839"/>
    <w:rsid w:val="00770118"/>
    <w:rsid w:val="007705B1"/>
    <w:rsid w:val="0077126B"/>
    <w:rsid w:val="0077137C"/>
    <w:rsid w:val="0077187E"/>
    <w:rsid w:val="00771CE3"/>
    <w:rsid w:val="00772D78"/>
    <w:rsid w:val="00773FA5"/>
    <w:rsid w:val="00774CC2"/>
    <w:rsid w:val="00775BD5"/>
    <w:rsid w:val="00775CF7"/>
    <w:rsid w:val="00777396"/>
    <w:rsid w:val="00777F13"/>
    <w:rsid w:val="00780141"/>
    <w:rsid w:val="00780FFB"/>
    <w:rsid w:val="00781E27"/>
    <w:rsid w:val="007825C6"/>
    <w:rsid w:val="00782611"/>
    <w:rsid w:val="00782AF5"/>
    <w:rsid w:val="007839E5"/>
    <w:rsid w:val="00784A14"/>
    <w:rsid w:val="00784DC2"/>
    <w:rsid w:val="00785226"/>
    <w:rsid w:val="00785D87"/>
    <w:rsid w:val="007865FE"/>
    <w:rsid w:val="007869AC"/>
    <w:rsid w:val="007873BE"/>
    <w:rsid w:val="00787CC6"/>
    <w:rsid w:val="00787DC9"/>
    <w:rsid w:val="00791ADC"/>
    <w:rsid w:val="00792944"/>
    <w:rsid w:val="00793E3D"/>
    <w:rsid w:val="00795E7A"/>
    <w:rsid w:val="00796EED"/>
    <w:rsid w:val="007A48DF"/>
    <w:rsid w:val="007A4ADF"/>
    <w:rsid w:val="007A537B"/>
    <w:rsid w:val="007A56ED"/>
    <w:rsid w:val="007A570E"/>
    <w:rsid w:val="007A5CC6"/>
    <w:rsid w:val="007A69E8"/>
    <w:rsid w:val="007A6DCB"/>
    <w:rsid w:val="007A7D80"/>
    <w:rsid w:val="007B01E0"/>
    <w:rsid w:val="007B11AC"/>
    <w:rsid w:val="007B1B2E"/>
    <w:rsid w:val="007B24A1"/>
    <w:rsid w:val="007B29D5"/>
    <w:rsid w:val="007B323B"/>
    <w:rsid w:val="007B3A02"/>
    <w:rsid w:val="007B3CB0"/>
    <w:rsid w:val="007B42C3"/>
    <w:rsid w:val="007B46F8"/>
    <w:rsid w:val="007B48FF"/>
    <w:rsid w:val="007B53A1"/>
    <w:rsid w:val="007B54A1"/>
    <w:rsid w:val="007C1BC3"/>
    <w:rsid w:val="007C1D24"/>
    <w:rsid w:val="007C216F"/>
    <w:rsid w:val="007C23A4"/>
    <w:rsid w:val="007C2B53"/>
    <w:rsid w:val="007C2F04"/>
    <w:rsid w:val="007C332E"/>
    <w:rsid w:val="007C34E0"/>
    <w:rsid w:val="007C3A7B"/>
    <w:rsid w:val="007C4301"/>
    <w:rsid w:val="007C4A8A"/>
    <w:rsid w:val="007C4C82"/>
    <w:rsid w:val="007C50B2"/>
    <w:rsid w:val="007C54C2"/>
    <w:rsid w:val="007C5A8A"/>
    <w:rsid w:val="007C5EAA"/>
    <w:rsid w:val="007C7483"/>
    <w:rsid w:val="007C7765"/>
    <w:rsid w:val="007C7B73"/>
    <w:rsid w:val="007C7E8C"/>
    <w:rsid w:val="007D0521"/>
    <w:rsid w:val="007D0C03"/>
    <w:rsid w:val="007D1EC1"/>
    <w:rsid w:val="007D51DB"/>
    <w:rsid w:val="007D51E2"/>
    <w:rsid w:val="007D545D"/>
    <w:rsid w:val="007D6B63"/>
    <w:rsid w:val="007D75F4"/>
    <w:rsid w:val="007E0539"/>
    <w:rsid w:val="007E383C"/>
    <w:rsid w:val="007E499E"/>
    <w:rsid w:val="007E4F87"/>
    <w:rsid w:val="007E534B"/>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75D"/>
    <w:rsid w:val="007F3C88"/>
    <w:rsid w:val="007F4638"/>
    <w:rsid w:val="007F466B"/>
    <w:rsid w:val="007F46EB"/>
    <w:rsid w:val="007F4DEB"/>
    <w:rsid w:val="007F66CC"/>
    <w:rsid w:val="007F68D2"/>
    <w:rsid w:val="007F7245"/>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6992"/>
    <w:rsid w:val="008074D1"/>
    <w:rsid w:val="00807855"/>
    <w:rsid w:val="0081069C"/>
    <w:rsid w:val="008107EE"/>
    <w:rsid w:val="00810DEF"/>
    <w:rsid w:val="00811199"/>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777"/>
    <w:rsid w:val="00822BD9"/>
    <w:rsid w:val="0082311C"/>
    <w:rsid w:val="00823279"/>
    <w:rsid w:val="008233E3"/>
    <w:rsid w:val="00823613"/>
    <w:rsid w:val="00823B31"/>
    <w:rsid w:val="00823CF7"/>
    <w:rsid w:val="00824925"/>
    <w:rsid w:val="008263EF"/>
    <w:rsid w:val="00826D15"/>
    <w:rsid w:val="00830376"/>
    <w:rsid w:val="00830BD2"/>
    <w:rsid w:val="00831B50"/>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18D4"/>
    <w:rsid w:val="00872CD7"/>
    <w:rsid w:val="0087304C"/>
    <w:rsid w:val="00874CEF"/>
    <w:rsid w:val="0087501C"/>
    <w:rsid w:val="00875179"/>
    <w:rsid w:val="008754CC"/>
    <w:rsid w:val="00875A4F"/>
    <w:rsid w:val="00876F4B"/>
    <w:rsid w:val="00877501"/>
    <w:rsid w:val="008804F4"/>
    <w:rsid w:val="00880CB2"/>
    <w:rsid w:val="00881694"/>
    <w:rsid w:val="00881E74"/>
    <w:rsid w:val="00882F7F"/>
    <w:rsid w:val="008835D1"/>
    <w:rsid w:val="008839C1"/>
    <w:rsid w:val="00883CD9"/>
    <w:rsid w:val="00884733"/>
    <w:rsid w:val="00884C97"/>
    <w:rsid w:val="00884EA3"/>
    <w:rsid w:val="008851E7"/>
    <w:rsid w:val="0088545A"/>
    <w:rsid w:val="008855F3"/>
    <w:rsid w:val="00885780"/>
    <w:rsid w:val="00885E01"/>
    <w:rsid w:val="00885F33"/>
    <w:rsid w:val="008860EA"/>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185"/>
    <w:rsid w:val="008A4B93"/>
    <w:rsid w:val="008A5E92"/>
    <w:rsid w:val="008A6056"/>
    <w:rsid w:val="008A67EF"/>
    <w:rsid w:val="008A69CC"/>
    <w:rsid w:val="008A7359"/>
    <w:rsid w:val="008A79E6"/>
    <w:rsid w:val="008B004C"/>
    <w:rsid w:val="008B01CF"/>
    <w:rsid w:val="008B083B"/>
    <w:rsid w:val="008B0CDA"/>
    <w:rsid w:val="008B15ED"/>
    <w:rsid w:val="008B20FD"/>
    <w:rsid w:val="008B30F9"/>
    <w:rsid w:val="008B49EE"/>
    <w:rsid w:val="008B6656"/>
    <w:rsid w:val="008B6F1C"/>
    <w:rsid w:val="008C04E1"/>
    <w:rsid w:val="008C0693"/>
    <w:rsid w:val="008C0F97"/>
    <w:rsid w:val="008C12F2"/>
    <w:rsid w:val="008C1989"/>
    <w:rsid w:val="008C2D1D"/>
    <w:rsid w:val="008C4F85"/>
    <w:rsid w:val="008C5C2B"/>
    <w:rsid w:val="008C6194"/>
    <w:rsid w:val="008C6667"/>
    <w:rsid w:val="008C74DA"/>
    <w:rsid w:val="008C75CF"/>
    <w:rsid w:val="008C7B38"/>
    <w:rsid w:val="008C7C95"/>
    <w:rsid w:val="008D0239"/>
    <w:rsid w:val="008D092A"/>
    <w:rsid w:val="008D1FF3"/>
    <w:rsid w:val="008D2045"/>
    <w:rsid w:val="008D2100"/>
    <w:rsid w:val="008D2E18"/>
    <w:rsid w:val="008D30C7"/>
    <w:rsid w:val="008D5617"/>
    <w:rsid w:val="008D68D6"/>
    <w:rsid w:val="008D6AB7"/>
    <w:rsid w:val="008D6E0B"/>
    <w:rsid w:val="008D708C"/>
    <w:rsid w:val="008D73B7"/>
    <w:rsid w:val="008E0F5C"/>
    <w:rsid w:val="008E0FAD"/>
    <w:rsid w:val="008E183E"/>
    <w:rsid w:val="008E3F07"/>
    <w:rsid w:val="008E4056"/>
    <w:rsid w:val="008E6507"/>
    <w:rsid w:val="008E73FB"/>
    <w:rsid w:val="008E7D17"/>
    <w:rsid w:val="008F0E7F"/>
    <w:rsid w:val="008F1DBA"/>
    <w:rsid w:val="008F2B27"/>
    <w:rsid w:val="008F32FC"/>
    <w:rsid w:val="008F3430"/>
    <w:rsid w:val="008F3B95"/>
    <w:rsid w:val="008F5304"/>
    <w:rsid w:val="008F5A3E"/>
    <w:rsid w:val="008F5B35"/>
    <w:rsid w:val="008F64CA"/>
    <w:rsid w:val="008F672B"/>
    <w:rsid w:val="008F79C7"/>
    <w:rsid w:val="008F7E73"/>
    <w:rsid w:val="009000B1"/>
    <w:rsid w:val="0090065A"/>
    <w:rsid w:val="00902879"/>
    <w:rsid w:val="0090344E"/>
    <w:rsid w:val="0090374D"/>
    <w:rsid w:val="00903E41"/>
    <w:rsid w:val="00903E8F"/>
    <w:rsid w:val="0090459D"/>
    <w:rsid w:val="00904E15"/>
    <w:rsid w:val="00904E68"/>
    <w:rsid w:val="00904EA4"/>
    <w:rsid w:val="009053DE"/>
    <w:rsid w:val="00905DE7"/>
    <w:rsid w:val="00910142"/>
    <w:rsid w:val="0091058F"/>
    <w:rsid w:val="00910EB4"/>
    <w:rsid w:val="009112FE"/>
    <w:rsid w:val="0091198C"/>
    <w:rsid w:val="00911E25"/>
    <w:rsid w:val="009123BD"/>
    <w:rsid w:val="00912B56"/>
    <w:rsid w:val="00912E6F"/>
    <w:rsid w:val="0091359C"/>
    <w:rsid w:val="00913ACA"/>
    <w:rsid w:val="009144C0"/>
    <w:rsid w:val="00914E2B"/>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58A"/>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142F"/>
    <w:rsid w:val="0094246A"/>
    <w:rsid w:val="00943D46"/>
    <w:rsid w:val="00944352"/>
    <w:rsid w:val="00945583"/>
    <w:rsid w:val="00945672"/>
    <w:rsid w:val="009456FB"/>
    <w:rsid w:val="009457A5"/>
    <w:rsid w:val="00945BBD"/>
    <w:rsid w:val="0094664D"/>
    <w:rsid w:val="0094678C"/>
    <w:rsid w:val="00946B4E"/>
    <w:rsid w:val="009472EE"/>
    <w:rsid w:val="00947BCC"/>
    <w:rsid w:val="00950414"/>
    <w:rsid w:val="009507D7"/>
    <w:rsid w:val="009511DD"/>
    <w:rsid w:val="00951E4F"/>
    <w:rsid w:val="00952337"/>
    <w:rsid w:val="0095278D"/>
    <w:rsid w:val="009533EF"/>
    <w:rsid w:val="0095352F"/>
    <w:rsid w:val="0095361F"/>
    <w:rsid w:val="009546BE"/>
    <w:rsid w:val="009548F2"/>
    <w:rsid w:val="00955907"/>
    <w:rsid w:val="00956179"/>
    <w:rsid w:val="00956259"/>
    <w:rsid w:val="0095633E"/>
    <w:rsid w:val="00957196"/>
    <w:rsid w:val="009578C1"/>
    <w:rsid w:val="0096000A"/>
    <w:rsid w:val="009601BD"/>
    <w:rsid w:val="00960391"/>
    <w:rsid w:val="00960901"/>
    <w:rsid w:val="00960F4D"/>
    <w:rsid w:val="00961486"/>
    <w:rsid w:val="009619B1"/>
    <w:rsid w:val="00962A62"/>
    <w:rsid w:val="00963A36"/>
    <w:rsid w:val="00964773"/>
    <w:rsid w:val="0096558C"/>
    <w:rsid w:val="0096705E"/>
    <w:rsid w:val="00967539"/>
    <w:rsid w:val="00967A5D"/>
    <w:rsid w:val="00967FED"/>
    <w:rsid w:val="00971266"/>
    <w:rsid w:val="0097166D"/>
    <w:rsid w:val="009719A4"/>
    <w:rsid w:val="009722DC"/>
    <w:rsid w:val="009722E5"/>
    <w:rsid w:val="00972639"/>
    <w:rsid w:val="00972EA8"/>
    <w:rsid w:val="00973387"/>
    <w:rsid w:val="009737F0"/>
    <w:rsid w:val="00975403"/>
    <w:rsid w:val="00976DC9"/>
    <w:rsid w:val="00980A60"/>
    <w:rsid w:val="009823B0"/>
    <w:rsid w:val="00982505"/>
    <w:rsid w:val="00982F07"/>
    <w:rsid w:val="009831F6"/>
    <w:rsid w:val="00984401"/>
    <w:rsid w:val="00984647"/>
    <w:rsid w:val="00984CFB"/>
    <w:rsid w:val="009855A6"/>
    <w:rsid w:val="009858A2"/>
    <w:rsid w:val="00986240"/>
    <w:rsid w:val="009863A9"/>
    <w:rsid w:val="0098682A"/>
    <w:rsid w:val="00986F0C"/>
    <w:rsid w:val="009872E1"/>
    <w:rsid w:val="00987719"/>
    <w:rsid w:val="00987C13"/>
    <w:rsid w:val="00990A4A"/>
    <w:rsid w:val="00990BAE"/>
    <w:rsid w:val="00991A05"/>
    <w:rsid w:val="00991CBD"/>
    <w:rsid w:val="0099221F"/>
    <w:rsid w:val="00992488"/>
    <w:rsid w:val="009929A2"/>
    <w:rsid w:val="00992EBA"/>
    <w:rsid w:val="009946FD"/>
    <w:rsid w:val="00994CED"/>
    <w:rsid w:val="00996F85"/>
    <w:rsid w:val="00997652"/>
    <w:rsid w:val="00997B6A"/>
    <w:rsid w:val="009A07EA"/>
    <w:rsid w:val="009A0FBE"/>
    <w:rsid w:val="009A1216"/>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DC3"/>
    <w:rsid w:val="009B3D71"/>
    <w:rsid w:val="009B3E1E"/>
    <w:rsid w:val="009B3FCA"/>
    <w:rsid w:val="009B4127"/>
    <w:rsid w:val="009B4549"/>
    <w:rsid w:val="009B519D"/>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3D4"/>
    <w:rsid w:val="009D2650"/>
    <w:rsid w:val="009D2898"/>
    <w:rsid w:val="009D2E96"/>
    <w:rsid w:val="009D34FB"/>
    <w:rsid w:val="009D3AE1"/>
    <w:rsid w:val="009D47DC"/>
    <w:rsid w:val="009D49A0"/>
    <w:rsid w:val="009D4E14"/>
    <w:rsid w:val="009D5506"/>
    <w:rsid w:val="009D6758"/>
    <w:rsid w:val="009D6E64"/>
    <w:rsid w:val="009D6E98"/>
    <w:rsid w:val="009D71E8"/>
    <w:rsid w:val="009D7CA1"/>
    <w:rsid w:val="009D7E73"/>
    <w:rsid w:val="009D7E79"/>
    <w:rsid w:val="009E02BF"/>
    <w:rsid w:val="009E083A"/>
    <w:rsid w:val="009E0D4E"/>
    <w:rsid w:val="009E2B34"/>
    <w:rsid w:val="009E2BDF"/>
    <w:rsid w:val="009E2F61"/>
    <w:rsid w:val="009E2FC0"/>
    <w:rsid w:val="009E33E9"/>
    <w:rsid w:val="009E375F"/>
    <w:rsid w:val="009E39AB"/>
    <w:rsid w:val="009E4E6A"/>
    <w:rsid w:val="009E51AC"/>
    <w:rsid w:val="009E5C04"/>
    <w:rsid w:val="009E6571"/>
    <w:rsid w:val="009E6882"/>
    <w:rsid w:val="009E6A26"/>
    <w:rsid w:val="009E71E2"/>
    <w:rsid w:val="009E7DEE"/>
    <w:rsid w:val="009F058A"/>
    <w:rsid w:val="009F05A7"/>
    <w:rsid w:val="009F128D"/>
    <w:rsid w:val="009F1C80"/>
    <w:rsid w:val="009F1FBC"/>
    <w:rsid w:val="009F2B53"/>
    <w:rsid w:val="009F3084"/>
    <w:rsid w:val="009F37F4"/>
    <w:rsid w:val="009F4686"/>
    <w:rsid w:val="009F5340"/>
    <w:rsid w:val="009F574C"/>
    <w:rsid w:val="009F58AA"/>
    <w:rsid w:val="009F6F0C"/>
    <w:rsid w:val="009F727E"/>
    <w:rsid w:val="00A003BF"/>
    <w:rsid w:val="00A00871"/>
    <w:rsid w:val="00A00A58"/>
    <w:rsid w:val="00A00D76"/>
    <w:rsid w:val="00A03B17"/>
    <w:rsid w:val="00A04DA9"/>
    <w:rsid w:val="00A04DBA"/>
    <w:rsid w:val="00A04DEA"/>
    <w:rsid w:val="00A0530E"/>
    <w:rsid w:val="00A05951"/>
    <w:rsid w:val="00A059CD"/>
    <w:rsid w:val="00A05B89"/>
    <w:rsid w:val="00A062AE"/>
    <w:rsid w:val="00A065F9"/>
    <w:rsid w:val="00A06AE3"/>
    <w:rsid w:val="00A06B18"/>
    <w:rsid w:val="00A06EB4"/>
    <w:rsid w:val="00A07793"/>
    <w:rsid w:val="00A11E77"/>
    <w:rsid w:val="00A13717"/>
    <w:rsid w:val="00A13833"/>
    <w:rsid w:val="00A13D6B"/>
    <w:rsid w:val="00A14F24"/>
    <w:rsid w:val="00A1597B"/>
    <w:rsid w:val="00A16B59"/>
    <w:rsid w:val="00A16B69"/>
    <w:rsid w:val="00A16B9D"/>
    <w:rsid w:val="00A172FB"/>
    <w:rsid w:val="00A1758A"/>
    <w:rsid w:val="00A17B14"/>
    <w:rsid w:val="00A17C99"/>
    <w:rsid w:val="00A20195"/>
    <w:rsid w:val="00A22262"/>
    <w:rsid w:val="00A224CD"/>
    <w:rsid w:val="00A22889"/>
    <w:rsid w:val="00A23AA7"/>
    <w:rsid w:val="00A23E47"/>
    <w:rsid w:val="00A24459"/>
    <w:rsid w:val="00A25F50"/>
    <w:rsid w:val="00A26CE6"/>
    <w:rsid w:val="00A26FDF"/>
    <w:rsid w:val="00A27511"/>
    <w:rsid w:val="00A27AB2"/>
    <w:rsid w:val="00A27C75"/>
    <w:rsid w:val="00A31575"/>
    <w:rsid w:val="00A31660"/>
    <w:rsid w:val="00A32105"/>
    <w:rsid w:val="00A3385B"/>
    <w:rsid w:val="00A33D1F"/>
    <w:rsid w:val="00A34920"/>
    <w:rsid w:val="00A34998"/>
    <w:rsid w:val="00A34F63"/>
    <w:rsid w:val="00A35171"/>
    <w:rsid w:val="00A3534B"/>
    <w:rsid w:val="00A35352"/>
    <w:rsid w:val="00A35376"/>
    <w:rsid w:val="00A37A7E"/>
    <w:rsid w:val="00A37E24"/>
    <w:rsid w:val="00A400A9"/>
    <w:rsid w:val="00A40473"/>
    <w:rsid w:val="00A41A4F"/>
    <w:rsid w:val="00A423FE"/>
    <w:rsid w:val="00A43498"/>
    <w:rsid w:val="00A4409C"/>
    <w:rsid w:val="00A4413C"/>
    <w:rsid w:val="00A44C2B"/>
    <w:rsid w:val="00A44C44"/>
    <w:rsid w:val="00A4563C"/>
    <w:rsid w:val="00A45657"/>
    <w:rsid w:val="00A45684"/>
    <w:rsid w:val="00A466B3"/>
    <w:rsid w:val="00A46873"/>
    <w:rsid w:val="00A468F4"/>
    <w:rsid w:val="00A4749A"/>
    <w:rsid w:val="00A47A03"/>
    <w:rsid w:val="00A50254"/>
    <w:rsid w:val="00A503B1"/>
    <w:rsid w:val="00A50810"/>
    <w:rsid w:val="00A514E8"/>
    <w:rsid w:val="00A51C42"/>
    <w:rsid w:val="00A53027"/>
    <w:rsid w:val="00A53409"/>
    <w:rsid w:val="00A54020"/>
    <w:rsid w:val="00A54270"/>
    <w:rsid w:val="00A54770"/>
    <w:rsid w:val="00A5518F"/>
    <w:rsid w:val="00A552DA"/>
    <w:rsid w:val="00A55689"/>
    <w:rsid w:val="00A564D2"/>
    <w:rsid w:val="00A5683B"/>
    <w:rsid w:val="00A57F58"/>
    <w:rsid w:val="00A60927"/>
    <w:rsid w:val="00A60F84"/>
    <w:rsid w:val="00A6145F"/>
    <w:rsid w:val="00A61BDC"/>
    <w:rsid w:val="00A62666"/>
    <w:rsid w:val="00A63E25"/>
    <w:rsid w:val="00A6450E"/>
    <w:rsid w:val="00A64B38"/>
    <w:rsid w:val="00A64F8D"/>
    <w:rsid w:val="00A665A5"/>
    <w:rsid w:val="00A67408"/>
    <w:rsid w:val="00A6747F"/>
    <w:rsid w:val="00A70089"/>
    <w:rsid w:val="00A70689"/>
    <w:rsid w:val="00A719E8"/>
    <w:rsid w:val="00A71DA1"/>
    <w:rsid w:val="00A7250E"/>
    <w:rsid w:val="00A77CB7"/>
    <w:rsid w:val="00A806A3"/>
    <w:rsid w:val="00A80C13"/>
    <w:rsid w:val="00A814CA"/>
    <w:rsid w:val="00A81F61"/>
    <w:rsid w:val="00A82333"/>
    <w:rsid w:val="00A8243E"/>
    <w:rsid w:val="00A8341D"/>
    <w:rsid w:val="00A8506F"/>
    <w:rsid w:val="00A865F4"/>
    <w:rsid w:val="00A87062"/>
    <w:rsid w:val="00A87CEF"/>
    <w:rsid w:val="00A90B81"/>
    <w:rsid w:val="00A91531"/>
    <w:rsid w:val="00A9163C"/>
    <w:rsid w:val="00A91DA1"/>
    <w:rsid w:val="00A92F8B"/>
    <w:rsid w:val="00A93E2E"/>
    <w:rsid w:val="00A9492D"/>
    <w:rsid w:val="00A94C31"/>
    <w:rsid w:val="00A9535D"/>
    <w:rsid w:val="00A95520"/>
    <w:rsid w:val="00A9595E"/>
    <w:rsid w:val="00A95D35"/>
    <w:rsid w:val="00A95D4B"/>
    <w:rsid w:val="00A966DC"/>
    <w:rsid w:val="00A9672F"/>
    <w:rsid w:val="00A9674D"/>
    <w:rsid w:val="00AA04F9"/>
    <w:rsid w:val="00AA182F"/>
    <w:rsid w:val="00AA1921"/>
    <w:rsid w:val="00AA20BC"/>
    <w:rsid w:val="00AA30FD"/>
    <w:rsid w:val="00AA4D09"/>
    <w:rsid w:val="00AA59FE"/>
    <w:rsid w:val="00AA5B61"/>
    <w:rsid w:val="00AA70F5"/>
    <w:rsid w:val="00AA7E85"/>
    <w:rsid w:val="00AB0ADE"/>
    <w:rsid w:val="00AB119E"/>
    <w:rsid w:val="00AB13EC"/>
    <w:rsid w:val="00AB1C0F"/>
    <w:rsid w:val="00AB281C"/>
    <w:rsid w:val="00AB2AC3"/>
    <w:rsid w:val="00AB2BC9"/>
    <w:rsid w:val="00AB2D1F"/>
    <w:rsid w:val="00AB3277"/>
    <w:rsid w:val="00AB34E5"/>
    <w:rsid w:val="00AB424A"/>
    <w:rsid w:val="00AB4564"/>
    <w:rsid w:val="00AB461F"/>
    <w:rsid w:val="00AB4CE6"/>
    <w:rsid w:val="00AB4DFD"/>
    <w:rsid w:val="00AB5838"/>
    <w:rsid w:val="00AB5B7F"/>
    <w:rsid w:val="00AB6792"/>
    <w:rsid w:val="00AB6F50"/>
    <w:rsid w:val="00AC18FA"/>
    <w:rsid w:val="00AC2321"/>
    <w:rsid w:val="00AC2D60"/>
    <w:rsid w:val="00AC3F98"/>
    <w:rsid w:val="00AC4A56"/>
    <w:rsid w:val="00AC6884"/>
    <w:rsid w:val="00AC69EF"/>
    <w:rsid w:val="00AD0241"/>
    <w:rsid w:val="00AD0343"/>
    <w:rsid w:val="00AD0C74"/>
    <w:rsid w:val="00AD0ED7"/>
    <w:rsid w:val="00AD112F"/>
    <w:rsid w:val="00AD1876"/>
    <w:rsid w:val="00AD19CB"/>
    <w:rsid w:val="00AD2027"/>
    <w:rsid w:val="00AD2979"/>
    <w:rsid w:val="00AD316D"/>
    <w:rsid w:val="00AD3B5E"/>
    <w:rsid w:val="00AD405E"/>
    <w:rsid w:val="00AD40E6"/>
    <w:rsid w:val="00AD4338"/>
    <w:rsid w:val="00AD442F"/>
    <w:rsid w:val="00AD4973"/>
    <w:rsid w:val="00AD4EBC"/>
    <w:rsid w:val="00AD5040"/>
    <w:rsid w:val="00AD540A"/>
    <w:rsid w:val="00AD5861"/>
    <w:rsid w:val="00AD6305"/>
    <w:rsid w:val="00AD7087"/>
    <w:rsid w:val="00AD7277"/>
    <w:rsid w:val="00AE064F"/>
    <w:rsid w:val="00AE0CE5"/>
    <w:rsid w:val="00AE1278"/>
    <w:rsid w:val="00AE1516"/>
    <w:rsid w:val="00AE1BB1"/>
    <w:rsid w:val="00AE23E4"/>
    <w:rsid w:val="00AE2596"/>
    <w:rsid w:val="00AE27D7"/>
    <w:rsid w:val="00AE2C4F"/>
    <w:rsid w:val="00AE2F20"/>
    <w:rsid w:val="00AE3C2E"/>
    <w:rsid w:val="00AE3F52"/>
    <w:rsid w:val="00AE413F"/>
    <w:rsid w:val="00AE41CB"/>
    <w:rsid w:val="00AE5447"/>
    <w:rsid w:val="00AE58D3"/>
    <w:rsid w:val="00AE591A"/>
    <w:rsid w:val="00AE721B"/>
    <w:rsid w:val="00AE72AD"/>
    <w:rsid w:val="00AF10AF"/>
    <w:rsid w:val="00AF24C1"/>
    <w:rsid w:val="00AF3FA3"/>
    <w:rsid w:val="00AF4616"/>
    <w:rsid w:val="00AF4869"/>
    <w:rsid w:val="00AF527A"/>
    <w:rsid w:val="00AF68C5"/>
    <w:rsid w:val="00AF7077"/>
    <w:rsid w:val="00AF7707"/>
    <w:rsid w:val="00B004A2"/>
    <w:rsid w:val="00B00B2A"/>
    <w:rsid w:val="00B00F5C"/>
    <w:rsid w:val="00B02027"/>
    <w:rsid w:val="00B02123"/>
    <w:rsid w:val="00B02125"/>
    <w:rsid w:val="00B025A9"/>
    <w:rsid w:val="00B02642"/>
    <w:rsid w:val="00B0341C"/>
    <w:rsid w:val="00B0413D"/>
    <w:rsid w:val="00B04B02"/>
    <w:rsid w:val="00B04B89"/>
    <w:rsid w:val="00B05111"/>
    <w:rsid w:val="00B05F2C"/>
    <w:rsid w:val="00B0779C"/>
    <w:rsid w:val="00B100AC"/>
    <w:rsid w:val="00B104C8"/>
    <w:rsid w:val="00B110D6"/>
    <w:rsid w:val="00B11AD5"/>
    <w:rsid w:val="00B11F58"/>
    <w:rsid w:val="00B12588"/>
    <w:rsid w:val="00B13027"/>
    <w:rsid w:val="00B13E3A"/>
    <w:rsid w:val="00B1428C"/>
    <w:rsid w:val="00B14F22"/>
    <w:rsid w:val="00B15403"/>
    <w:rsid w:val="00B1570D"/>
    <w:rsid w:val="00B15FBA"/>
    <w:rsid w:val="00B160A3"/>
    <w:rsid w:val="00B1669E"/>
    <w:rsid w:val="00B16747"/>
    <w:rsid w:val="00B1691C"/>
    <w:rsid w:val="00B16C09"/>
    <w:rsid w:val="00B17414"/>
    <w:rsid w:val="00B17B12"/>
    <w:rsid w:val="00B17D93"/>
    <w:rsid w:val="00B17E61"/>
    <w:rsid w:val="00B20B8A"/>
    <w:rsid w:val="00B22493"/>
    <w:rsid w:val="00B22BC2"/>
    <w:rsid w:val="00B2344E"/>
    <w:rsid w:val="00B2449D"/>
    <w:rsid w:val="00B24D93"/>
    <w:rsid w:val="00B25DD6"/>
    <w:rsid w:val="00B26023"/>
    <w:rsid w:val="00B260CE"/>
    <w:rsid w:val="00B26599"/>
    <w:rsid w:val="00B266BB"/>
    <w:rsid w:val="00B26CAA"/>
    <w:rsid w:val="00B26FB7"/>
    <w:rsid w:val="00B30BE3"/>
    <w:rsid w:val="00B30D61"/>
    <w:rsid w:val="00B30DC0"/>
    <w:rsid w:val="00B33930"/>
    <w:rsid w:val="00B33C3D"/>
    <w:rsid w:val="00B34386"/>
    <w:rsid w:val="00B34469"/>
    <w:rsid w:val="00B34CED"/>
    <w:rsid w:val="00B35076"/>
    <w:rsid w:val="00B35618"/>
    <w:rsid w:val="00B35EE6"/>
    <w:rsid w:val="00B36071"/>
    <w:rsid w:val="00B360FA"/>
    <w:rsid w:val="00B379A3"/>
    <w:rsid w:val="00B41251"/>
    <w:rsid w:val="00B418D3"/>
    <w:rsid w:val="00B44F44"/>
    <w:rsid w:val="00B4644C"/>
    <w:rsid w:val="00B46453"/>
    <w:rsid w:val="00B46620"/>
    <w:rsid w:val="00B46A3F"/>
    <w:rsid w:val="00B46C13"/>
    <w:rsid w:val="00B46C67"/>
    <w:rsid w:val="00B4788A"/>
    <w:rsid w:val="00B47A41"/>
    <w:rsid w:val="00B47E8E"/>
    <w:rsid w:val="00B50646"/>
    <w:rsid w:val="00B51E96"/>
    <w:rsid w:val="00B52263"/>
    <w:rsid w:val="00B523DD"/>
    <w:rsid w:val="00B523E8"/>
    <w:rsid w:val="00B5244E"/>
    <w:rsid w:val="00B5268C"/>
    <w:rsid w:val="00B52894"/>
    <w:rsid w:val="00B535A0"/>
    <w:rsid w:val="00B536DC"/>
    <w:rsid w:val="00B53E4B"/>
    <w:rsid w:val="00B547F8"/>
    <w:rsid w:val="00B54EAC"/>
    <w:rsid w:val="00B562A7"/>
    <w:rsid w:val="00B607D0"/>
    <w:rsid w:val="00B60A31"/>
    <w:rsid w:val="00B60CAE"/>
    <w:rsid w:val="00B613B6"/>
    <w:rsid w:val="00B62757"/>
    <w:rsid w:val="00B63C2D"/>
    <w:rsid w:val="00B6442F"/>
    <w:rsid w:val="00B653B5"/>
    <w:rsid w:val="00B65C5B"/>
    <w:rsid w:val="00B66354"/>
    <w:rsid w:val="00B66710"/>
    <w:rsid w:val="00B67289"/>
    <w:rsid w:val="00B6761F"/>
    <w:rsid w:val="00B70253"/>
    <w:rsid w:val="00B70908"/>
    <w:rsid w:val="00B70CBA"/>
    <w:rsid w:val="00B717A3"/>
    <w:rsid w:val="00B71EC5"/>
    <w:rsid w:val="00B72B42"/>
    <w:rsid w:val="00B73158"/>
    <w:rsid w:val="00B73B13"/>
    <w:rsid w:val="00B74569"/>
    <w:rsid w:val="00B745BD"/>
    <w:rsid w:val="00B74B4D"/>
    <w:rsid w:val="00B75F51"/>
    <w:rsid w:val="00B763C3"/>
    <w:rsid w:val="00B76D4E"/>
    <w:rsid w:val="00B77968"/>
    <w:rsid w:val="00B8060C"/>
    <w:rsid w:val="00B80682"/>
    <w:rsid w:val="00B8079B"/>
    <w:rsid w:val="00B81A27"/>
    <w:rsid w:val="00B81F2A"/>
    <w:rsid w:val="00B8421D"/>
    <w:rsid w:val="00B8498A"/>
    <w:rsid w:val="00B84B93"/>
    <w:rsid w:val="00B84BAC"/>
    <w:rsid w:val="00B85018"/>
    <w:rsid w:val="00B85DCF"/>
    <w:rsid w:val="00B85F1E"/>
    <w:rsid w:val="00B8621C"/>
    <w:rsid w:val="00B86B11"/>
    <w:rsid w:val="00B86FF4"/>
    <w:rsid w:val="00B874E8"/>
    <w:rsid w:val="00B909A8"/>
    <w:rsid w:val="00B91220"/>
    <w:rsid w:val="00B91475"/>
    <w:rsid w:val="00B916EA"/>
    <w:rsid w:val="00B92C13"/>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18C"/>
    <w:rsid w:val="00BB0C01"/>
    <w:rsid w:val="00BB1984"/>
    <w:rsid w:val="00BB1AD6"/>
    <w:rsid w:val="00BB212E"/>
    <w:rsid w:val="00BB23FA"/>
    <w:rsid w:val="00BB29C0"/>
    <w:rsid w:val="00BB3E3F"/>
    <w:rsid w:val="00BB43F2"/>
    <w:rsid w:val="00BB4BEB"/>
    <w:rsid w:val="00BB56CA"/>
    <w:rsid w:val="00BB5A4F"/>
    <w:rsid w:val="00BB5E9D"/>
    <w:rsid w:val="00BB6D98"/>
    <w:rsid w:val="00BB7010"/>
    <w:rsid w:val="00BB7043"/>
    <w:rsid w:val="00BB721A"/>
    <w:rsid w:val="00BB72E6"/>
    <w:rsid w:val="00BC0368"/>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1D0D"/>
    <w:rsid w:val="00BD1EBB"/>
    <w:rsid w:val="00BD29ED"/>
    <w:rsid w:val="00BD367B"/>
    <w:rsid w:val="00BD5630"/>
    <w:rsid w:val="00BD7D9D"/>
    <w:rsid w:val="00BD7E90"/>
    <w:rsid w:val="00BE1008"/>
    <w:rsid w:val="00BE16CD"/>
    <w:rsid w:val="00BE1740"/>
    <w:rsid w:val="00BE1783"/>
    <w:rsid w:val="00BE2139"/>
    <w:rsid w:val="00BE3349"/>
    <w:rsid w:val="00BE409A"/>
    <w:rsid w:val="00BE489C"/>
    <w:rsid w:val="00BE4C0A"/>
    <w:rsid w:val="00BE4E7F"/>
    <w:rsid w:val="00BE5291"/>
    <w:rsid w:val="00BE59C4"/>
    <w:rsid w:val="00BE5CA8"/>
    <w:rsid w:val="00BE6218"/>
    <w:rsid w:val="00BE62A8"/>
    <w:rsid w:val="00BE67BE"/>
    <w:rsid w:val="00BE7B73"/>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3CB"/>
    <w:rsid w:val="00C00969"/>
    <w:rsid w:val="00C009DA"/>
    <w:rsid w:val="00C00CAE"/>
    <w:rsid w:val="00C00FA9"/>
    <w:rsid w:val="00C0153C"/>
    <w:rsid w:val="00C01668"/>
    <w:rsid w:val="00C0178D"/>
    <w:rsid w:val="00C018CE"/>
    <w:rsid w:val="00C01D35"/>
    <w:rsid w:val="00C02423"/>
    <w:rsid w:val="00C02D90"/>
    <w:rsid w:val="00C030D0"/>
    <w:rsid w:val="00C03BCB"/>
    <w:rsid w:val="00C04EDE"/>
    <w:rsid w:val="00C05487"/>
    <w:rsid w:val="00C05A88"/>
    <w:rsid w:val="00C05E25"/>
    <w:rsid w:val="00C069C8"/>
    <w:rsid w:val="00C06FE6"/>
    <w:rsid w:val="00C075CD"/>
    <w:rsid w:val="00C076F0"/>
    <w:rsid w:val="00C07F5E"/>
    <w:rsid w:val="00C1071C"/>
    <w:rsid w:val="00C10F25"/>
    <w:rsid w:val="00C117C9"/>
    <w:rsid w:val="00C121B5"/>
    <w:rsid w:val="00C135B2"/>
    <w:rsid w:val="00C139D3"/>
    <w:rsid w:val="00C1413E"/>
    <w:rsid w:val="00C1487E"/>
    <w:rsid w:val="00C149FB"/>
    <w:rsid w:val="00C150B7"/>
    <w:rsid w:val="00C153BB"/>
    <w:rsid w:val="00C15830"/>
    <w:rsid w:val="00C17483"/>
    <w:rsid w:val="00C1767A"/>
    <w:rsid w:val="00C202A1"/>
    <w:rsid w:val="00C2080E"/>
    <w:rsid w:val="00C20E4C"/>
    <w:rsid w:val="00C21178"/>
    <w:rsid w:val="00C225DB"/>
    <w:rsid w:val="00C22D24"/>
    <w:rsid w:val="00C230F9"/>
    <w:rsid w:val="00C23513"/>
    <w:rsid w:val="00C23E42"/>
    <w:rsid w:val="00C241F8"/>
    <w:rsid w:val="00C24B0D"/>
    <w:rsid w:val="00C26170"/>
    <w:rsid w:val="00C26449"/>
    <w:rsid w:val="00C2697F"/>
    <w:rsid w:val="00C2713C"/>
    <w:rsid w:val="00C27166"/>
    <w:rsid w:val="00C30903"/>
    <w:rsid w:val="00C30962"/>
    <w:rsid w:val="00C30FAE"/>
    <w:rsid w:val="00C310F4"/>
    <w:rsid w:val="00C31852"/>
    <w:rsid w:val="00C3220B"/>
    <w:rsid w:val="00C3260E"/>
    <w:rsid w:val="00C334FF"/>
    <w:rsid w:val="00C337AB"/>
    <w:rsid w:val="00C33C97"/>
    <w:rsid w:val="00C34B56"/>
    <w:rsid w:val="00C35969"/>
    <w:rsid w:val="00C36AF3"/>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B0D"/>
    <w:rsid w:val="00C45DF8"/>
    <w:rsid w:val="00C46ADF"/>
    <w:rsid w:val="00C474F3"/>
    <w:rsid w:val="00C475BA"/>
    <w:rsid w:val="00C47AF2"/>
    <w:rsid w:val="00C47CA6"/>
    <w:rsid w:val="00C5096B"/>
    <w:rsid w:val="00C51DB4"/>
    <w:rsid w:val="00C539AF"/>
    <w:rsid w:val="00C53CDD"/>
    <w:rsid w:val="00C54106"/>
    <w:rsid w:val="00C54196"/>
    <w:rsid w:val="00C54516"/>
    <w:rsid w:val="00C54A92"/>
    <w:rsid w:val="00C54E90"/>
    <w:rsid w:val="00C55266"/>
    <w:rsid w:val="00C56739"/>
    <w:rsid w:val="00C56AB7"/>
    <w:rsid w:val="00C571A9"/>
    <w:rsid w:val="00C5731E"/>
    <w:rsid w:val="00C60175"/>
    <w:rsid w:val="00C61060"/>
    <w:rsid w:val="00C61425"/>
    <w:rsid w:val="00C617F9"/>
    <w:rsid w:val="00C62EDD"/>
    <w:rsid w:val="00C63078"/>
    <w:rsid w:val="00C636ED"/>
    <w:rsid w:val="00C639F4"/>
    <w:rsid w:val="00C64D48"/>
    <w:rsid w:val="00C65821"/>
    <w:rsid w:val="00C66D73"/>
    <w:rsid w:val="00C6718C"/>
    <w:rsid w:val="00C705B0"/>
    <w:rsid w:val="00C70B16"/>
    <w:rsid w:val="00C71012"/>
    <w:rsid w:val="00C71727"/>
    <w:rsid w:val="00C71843"/>
    <w:rsid w:val="00C7219B"/>
    <w:rsid w:val="00C732ED"/>
    <w:rsid w:val="00C73358"/>
    <w:rsid w:val="00C742F9"/>
    <w:rsid w:val="00C745D2"/>
    <w:rsid w:val="00C751F6"/>
    <w:rsid w:val="00C757E5"/>
    <w:rsid w:val="00C76ECD"/>
    <w:rsid w:val="00C776A0"/>
    <w:rsid w:val="00C77D18"/>
    <w:rsid w:val="00C77D55"/>
    <w:rsid w:val="00C8036D"/>
    <w:rsid w:val="00C8074B"/>
    <w:rsid w:val="00C8130F"/>
    <w:rsid w:val="00C81A26"/>
    <w:rsid w:val="00C81C16"/>
    <w:rsid w:val="00C81D8A"/>
    <w:rsid w:val="00C8205A"/>
    <w:rsid w:val="00C829A3"/>
    <w:rsid w:val="00C82B4B"/>
    <w:rsid w:val="00C83332"/>
    <w:rsid w:val="00C83363"/>
    <w:rsid w:val="00C835BB"/>
    <w:rsid w:val="00C839C1"/>
    <w:rsid w:val="00C85916"/>
    <w:rsid w:val="00C85B42"/>
    <w:rsid w:val="00C85E91"/>
    <w:rsid w:val="00C860DC"/>
    <w:rsid w:val="00C863B9"/>
    <w:rsid w:val="00C86B4E"/>
    <w:rsid w:val="00C86BBA"/>
    <w:rsid w:val="00C86D46"/>
    <w:rsid w:val="00C86FF5"/>
    <w:rsid w:val="00C87233"/>
    <w:rsid w:val="00C87452"/>
    <w:rsid w:val="00C87B5A"/>
    <w:rsid w:val="00C90000"/>
    <w:rsid w:val="00C90063"/>
    <w:rsid w:val="00C90C3F"/>
    <w:rsid w:val="00C91678"/>
    <w:rsid w:val="00C91C15"/>
    <w:rsid w:val="00C9225F"/>
    <w:rsid w:val="00C928DA"/>
    <w:rsid w:val="00C92B98"/>
    <w:rsid w:val="00C92CFE"/>
    <w:rsid w:val="00C93FAB"/>
    <w:rsid w:val="00C94615"/>
    <w:rsid w:val="00C95607"/>
    <w:rsid w:val="00C95736"/>
    <w:rsid w:val="00C95C16"/>
    <w:rsid w:val="00C96C12"/>
    <w:rsid w:val="00CA1578"/>
    <w:rsid w:val="00CA15F0"/>
    <w:rsid w:val="00CA1C48"/>
    <w:rsid w:val="00CA1F3D"/>
    <w:rsid w:val="00CA2299"/>
    <w:rsid w:val="00CA28DC"/>
    <w:rsid w:val="00CA2C88"/>
    <w:rsid w:val="00CA3C60"/>
    <w:rsid w:val="00CA42C5"/>
    <w:rsid w:val="00CA4D72"/>
    <w:rsid w:val="00CA4F2C"/>
    <w:rsid w:val="00CA52BB"/>
    <w:rsid w:val="00CA5781"/>
    <w:rsid w:val="00CA60C2"/>
    <w:rsid w:val="00CA6315"/>
    <w:rsid w:val="00CA6BE4"/>
    <w:rsid w:val="00CB012A"/>
    <w:rsid w:val="00CB0417"/>
    <w:rsid w:val="00CB052C"/>
    <w:rsid w:val="00CB2941"/>
    <w:rsid w:val="00CB311A"/>
    <w:rsid w:val="00CB316E"/>
    <w:rsid w:val="00CB38BB"/>
    <w:rsid w:val="00CB4653"/>
    <w:rsid w:val="00CB4E4C"/>
    <w:rsid w:val="00CB5024"/>
    <w:rsid w:val="00CB51E8"/>
    <w:rsid w:val="00CB6028"/>
    <w:rsid w:val="00CB61E6"/>
    <w:rsid w:val="00CC117A"/>
    <w:rsid w:val="00CC1B11"/>
    <w:rsid w:val="00CC2478"/>
    <w:rsid w:val="00CC286C"/>
    <w:rsid w:val="00CC336D"/>
    <w:rsid w:val="00CC3491"/>
    <w:rsid w:val="00CC4069"/>
    <w:rsid w:val="00CC593D"/>
    <w:rsid w:val="00CC5A4E"/>
    <w:rsid w:val="00CC7A3C"/>
    <w:rsid w:val="00CD0559"/>
    <w:rsid w:val="00CD1D58"/>
    <w:rsid w:val="00CD45EA"/>
    <w:rsid w:val="00CD4923"/>
    <w:rsid w:val="00CD6BE9"/>
    <w:rsid w:val="00CE215F"/>
    <w:rsid w:val="00CE2703"/>
    <w:rsid w:val="00CE305D"/>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2C3A"/>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0F1"/>
    <w:rsid w:val="00D05BB4"/>
    <w:rsid w:val="00D06107"/>
    <w:rsid w:val="00D06CF0"/>
    <w:rsid w:val="00D07DD3"/>
    <w:rsid w:val="00D07FE1"/>
    <w:rsid w:val="00D1077B"/>
    <w:rsid w:val="00D10C16"/>
    <w:rsid w:val="00D11137"/>
    <w:rsid w:val="00D116C1"/>
    <w:rsid w:val="00D120CB"/>
    <w:rsid w:val="00D124E2"/>
    <w:rsid w:val="00D12A4B"/>
    <w:rsid w:val="00D133FF"/>
    <w:rsid w:val="00D135A9"/>
    <w:rsid w:val="00D13F71"/>
    <w:rsid w:val="00D14700"/>
    <w:rsid w:val="00D14993"/>
    <w:rsid w:val="00D14FD9"/>
    <w:rsid w:val="00D1500F"/>
    <w:rsid w:val="00D15AE8"/>
    <w:rsid w:val="00D15BF2"/>
    <w:rsid w:val="00D16358"/>
    <w:rsid w:val="00D20965"/>
    <w:rsid w:val="00D20982"/>
    <w:rsid w:val="00D20A4F"/>
    <w:rsid w:val="00D20D9C"/>
    <w:rsid w:val="00D20FF3"/>
    <w:rsid w:val="00D21478"/>
    <w:rsid w:val="00D217BF"/>
    <w:rsid w:val="00D21E7B"/>
    <w:rsid w:val="00D222F7"/>
    <w:rsid w:val="00D227E1"/>
    <w:rsid w:val="00D22E37"/>
    <w:rsid w:val="00D22F67"/>
    <w:rsid w:val="00D22F84"/>
    <w:rsid w:val="00D23B19"/>
    <w:rsid w:val="00D2566F"/>
    <w:rsid w:val="00D25F7B"/>
    <w:rsid w:val="00D26175"/>
    <w:rsid w:val="00D27087"/>
    <w:rsid w:val="00D27A7B"/>
    <w:rsid w:val="00D27B7B"/>
    <w:rsid w:val="00D27F6E"/>
    <w:rsid w:val="00D324D7"/>
    <w:rsid w:val="00D332B9"/>
    <w:rsid w:val="00D33AF1"/>
    <w:rsid w:val="00D33EA0"/>
    <w:rsid w:val="00D33EE3"/>
    <w:rsid w:val="00D33FE5"/>
    <w:rsid w:val="00D34155"/>
    <w:rsid w:val="00D359C6"/>
    <w:rsid w:val="00D35EBE"/>
    <w:rsid w:val="00D3620D"/>
    <w:rsid w:val="00D3668C"/>
    <w:rsid w:val="00D40125"/>
    <w:rsid w:val="00D40750"/>
    <w:rsid w:val="00D40FE6"/>
    <w:rsid w:val="00D41354"/>
    <w:rsid w:val="00D41547"/>
    <w:rsid w:val="00D4193B"/>
    <w:rsid w:val="00D41B40"/>
    <w:rsid w:val="00D4251F"/>
    <w:rsid w:val="00D42A82"/>
    <w:rsid w:val="00D4361B"/>
    <w:rsid w:val="00D43697"/>
    <w:rsid w:val="00D439D4"/>
    <w:rsid w:val="00D43CEF"/>
    <w:rsid w:val="00D447DD"/>
    <w:rsid w:val="00D44C2F"/>
    <w:rsid w:val="00D45580"/>
    <w:rsid w:val="00D45650"/>
    <w:rsid w:val="00D45DEC"/>
    <w:rsid w:val="00D46E7B"/>
    <w:rsid w:val="00D472FE"/>
    <w:rsid w:val="00D503E6"/>
    <w:rsid w:val="00D509AD"/>
    <w:rsid w:val="00D514DF"/>
    <w:rsid w:val="00D51A3D"/>
    <w:rsid w:val="00D52773"/>
    <w:rsid w:val="00D52824"/>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671B0"/>
    <w:rsid w:val="00D70CBD"/>
    <w:rsid w:val="00D71D5F"/>
    <w:rsid w:val="00D7220D"/>
    <w:rsid w:val="00D72692"/>
    <w:rsid w:val="00D73D2B"/>
    <w:rsid w:val="00D741FD"/>
    <w:rsid w:val="00D74939"/>
    <w:rsid w:val="00D75D4C"/>
    <w:rsid w:val="00D75DEA"/>
    <w:rsid w:val="00D76194"/>
    <w:rsid w:val="00D7625C"/>
    <w:rsid w:val="00D7638B"/>
    <w:rsid w:val="00D7718E"/>
    <w:rsid w:val="00D7760C"/>
    <w:rsid w:val="00D77764"/>
    <w:rsid w:val="00D804A7"/>
    <w:rsid w:val="00D80FA5"/>
    <w:rsid w:val="00D81DE8"/>
    <w:rsid w:val="00D82037"/>
    <w:rsid w:val="00D8261A"/>
    <w:rsid w:val="00D82904"/>
    <w:rsid w:val="00D833B9"/>
    <w:rsid w:val="00D83B72"/>
    <w:rsid w:val="00D8456D"/>
    <w:rsid w:val="00D84B2C"/>
    <w:rsid w:val="00D84F62"/>
    <w:rsid w:val="00D8620A"/>
    <w:rsid w:val="00D86798"/>
    <w:rsid w:val="00D86C3B"/>
    <w:rsid w:val="00D86CDA"/>
    <w:rsid w:val="00D87B88"/>
    <w:rsid w:val="00D900C5"/>
    <w:rsid w:val="00D91D3E"/>
    <w:rsid w:val="00D922B6"/>
    <w:rsid w:val="00D92332"/>
    <w:rsid w:val="00D937B4"/>
    <w:rsid w:val="00D943C8"/>
    <w:rsid w:val="00D956D0"/>
    <w:rsid w:val="00D95719"/>
    <w:rsid w:val="00D95BC6"/>
    <w:rsid w:val="00D95C72"/>
    <w:rsid w:val="00D96171"/>
    <w:rsid w:val="00D965AE"/>
    <w:rsid w:val="00D96D53"/>
    <w:rsid w:val="00D97B1D"/>
    <w:rsid w:val="00DA1243"/>
    <w:rsid w:val="00DA2B7F"/>
    <w:rsid w:val="00DA4032"/>
    <w:rsid w:val="00DA4642"/>
    <w:rsid w:val="00DA5A8D"/>
    <w:rsid w:val="00DA5D6B"/>
    <w:rsid w:val="00DA7850"/>
    <w:rsid w:val="00DB0F50"/>
    <w:rsid w:val="00DB1057"/>
    <w:rsid w:val="00DB1A52"/>
    <w:rsid w:val="00DB1A71"/>
    <w:rsid w:val="00DB1EC3"/>
    <w:rsid w:val="00DB2438"/>
    <w:rsid w:val="00DB2557"/>
    <w:rsid w:val="00DB2D5E"/>
    <w:rsid w:val="00DB39ED"/>
    <w:rsid w:val="00DB3B6E"/>
    <w:rsid w:val="00DB48A0"/>
    <w:rsid w:val="00DB5303"/>
    <w:rsid w:val="00DB6411"/>
    <w:rsid w:val="00DB6492"/>
    <w:rsid w:val="00DB74FD"/>
    <w:rsid w:val="00DB76BA"/>
    <w:rsid w:val="00DB7D8D"/>
    <w:rsid w:val="00DC1344"/>
    <w:rsid w:val="00DC1965"/>
    <w:rsid w:val="00DC1A68"/>
    <w:rsid w:val="00DC2737"/>
    <w:rsid w:val="00DC30C6"/>
    <w:rsid w:val="00DC4156"/>
    <w:rsid w:val="00DC44E6"/>
    <w:rsid w:val="00DC4F2A"/>
    <w:rsid w:val="00DC649D"/>
    <w:rsid w:val="00DC6BA3"/>
    <w:rsid w:val="00DC722E"/>
    <w:rsid w:val="00DC736B"/>
    <w:rsid w:val="00DC7BBA"/>
    <w:rsid w:val="00DD0A1C"/>
    <w:rsid w:val="00DD14E1"/>
    <w:rsid w:val="00DD15DA"/>
    <w:rsid w:val="00DD180B"/>
    <w:rsid w:val="00DD2694"/>
    <w:rsid w:val="00DD3AD1"/>
    <w:rsid w:val="00DD3B1C"/>
    <w:rsid w:val="00DD3CA3"/>
    <w:rsid w:val="00DD4020"/>
    <w:rsid w:val="00DD41CD"/>
    <w:rsid w:val="00DD4292"/>
    <w:rsid w:val="00DD572F"/>
    <w:rsid w:val="00DD5D32"/>
    <w:rsid w:val="00DD5ECE"/>
    <w:rsid w:val="00DD645B"/>
    <w:rsid w:val="00DD646C"/>
    <w:rsid w:val="00DD6E7A"/>
    <w:rsid w:val="00DD7155"/>
    <w:rsid w:val="00DD73EF"/>
    <w:rsid w:val="00DD7C49"/>
    <w:rsid w:val="00DD7DE5"/>
    <w:rsid w:val="00DE0184"/>
    <w:rsid w:val="00DE02AB"/>
    <w:rsid w:val="00DE09BB"/>
    <w:rsid w:val="00DE0D73"/>
    <w:rsid w:val="00DE12A3"/>
    <w:rsid w:val="00DE4833"/>
    <w:rsid w:val="00DE5705"/>
    <w:rsid w:val="00DF1467"/>
    <w:rsid w:val="00DF1687"/>
    <w:rsid w:val="00DF1740"/>
    <w:rsid w:val="00DF2267"/>
    <w:rsid w:val="00DF26DB"/>
    <w:rsid w:val="00DF363F"/>
    <w:rsid w:val="00DF573B"/>
    <w:rsid w:val="00DF5743"/>
    <w:rsid w:val="00DF624F"/>
    <w:rsid w:val="00DF6D0F"/>
    <w:rsid w:val="00DF6EEE"/>
    <w:rsid w:val="00DF7A53"/>
    <w:rsid w:val="00DF7C87"/>
    <w:rsid w:val="00E001A6"/>
    <w:rsid w:val="00E002D4"/>
    <w:rsid w:val="00E00644"/>
    <w:rsid w:val="00E01412"/>
    <w:rsid w:val="00E01493"/>
    <w:rsid w:val="00E02373"/>
    <w:rsid w:val="00E02BCA"/>
    <w:rsid w:val="00E039E4"/>
    <w:rsid w:val="00E03B86"/>
    <w:rsid w:val="00E03F56"/>
    <w:rsid w:val="00E047DB"/>
    <w:rsid w:val="00E05041"/>
    <w:rsid w:val="00E06893"/>
    <w:rsid w:val="00E06B00"/>
    <w:rsid w:val="00E10920"/>
    <w:rsid w:val="00E10EA3"/>
    <w:rsid w:val="00E11782"/>
    <w:rsid w:val="00E118EE"/>
    <w:rsid w:val="00E121B7"/>
    <w:rsid w:val="00E12C10"/>
    <w:rsid w:val="00E1320F"/>
    <w:rsid w:val="00E13216"/>
    <w:rsid w:val="00E133CD"/>
    <w:rsid w:val="00E138DD"/>
    <w:rsid w:val="00E140DF"/>
    <w:rsid w:val="00E14341"/>
    <w:rsid w:val="00E162D1"/>
    <w:rsid w:val="00E162DC"/>
    <w:rsid w:val="00E16C27"/>
    <w:rsid w:val="00E2023E"/>
    <w:rsid w:val="00E20B5A"/>
    <w:rsid w:val="00E223B5"/>
    <w:rsid w:val="00E236A1"/>
    <w:rsid w:val="00E24B27"/>
    <w:rsid w:val="00E2563E"/>
    <w:rsid w:val="00E25DB9"/>
    <w:rsid w:val="00E26595"/>
    <w:rsid w:val="00E27784"/>
    <w:rsid w:val="00E27862"/>
    <w:rsid w:val="00E27A87"/>
    <w:rsid w:val="00E27EF5"/>
    <w:rsid w:val="00E301DB"/>
    <w:rsid w:val="00E3028B"/>
    <w:rsid w:val="00E304D6"/>
    <w:rsid w:val="00E30803"/>
    <w:rsid w:val="00E3279E"/>
    <w:rsid w:val="00E33BAF"/>
    <w:rsid w:val="00E33DF1"/>
    <w:rsid w:val="00E35BBF"/>
    <w:rsid w:val="00E35FB6"/>
    <w:rsid w:val="00E36074"/>
    <w:rsid w:val="00E36458"/>
    <w:rsid w:val="00E37367"/>
    <w:rsid w:val="00E37B3F"/>
    <w:rsid w:val="00E37E69"/>
    <w:rsid w:val="00E4199F"/>
    <w:rsid w:val="00E41EA3"/>
    <w:rsid w:val="00E424B6"/>
    <w:rsid w:val="00E424EF"/>
    <w:rsid w:val="00E42903"/>
    <w:rsid w:val="00E42CD4"/>
    <w:rsid w:val="00E42E97"/>
    <w:rsid w:val="00E433E1"/>
    <w:rsid w:val="00E43C00"/>
    <w:rsid w:val="00E43C32"/>
    <w:rsid w:val="00E45010"/>
    <w:rsid w:val="00E45042"/>
    <w:rsid w:val="00E4570A"/>
    <w:rsid w:val="00E45BD9"/>
    <w:rsid w:val="00E46D02"/>
    <w:rsid w:val="00E46DAA"/>
    <w:rsid w:val="00E472F3"/>
    <w:rsid w:val="00E47AFE"/>
    <w:rsid w:val="00E5016D"/>
    <w:rsid w:val="00E506B7"/>
    <w:rsid w:val="00E508B7"/>
    <w:rsid w:val="00E510A2"/>
    <w:rsid w:val="00E52366"/>
    <w:rsid w:val="00E525CB"/>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93"/>
    <w:rsid w:val="00E729AA"/>
    <w:rsid w:val="00E72FF0"/>
    <w:rsid w:val="00E7312D"/>
    <w:rsid w:val="00E746C9"/>
    <w:rsid w:val="00E767A3"/>
    <w:rsid w:val="00E77CDC"/>
    <w:rsid w:val="00E809C7"/>
    <w:rsid w:val="00E80F54"/>
    <w:rsid w:val="00E814D6"/>
    <w:rsid w:val="00E82BCA"/>
    <w:rsid w:val="00E848AA"/>
    <w:rsid w:val="00E85077"/>
    <w:rsid w:val="00E8667F"/>
    <w:rsid w:val="00E86943"/>
    <w:rsid w:val="00E869FB"/>
    <w:rsid w:val="00E86E3B"/>
    <w:rsid w:val="00E87053"/>
    <w:rsid w:val="00E8706B"/>
    <w:rsid w:val="00E87808"/>
    <w:rsid w:val="00E907B1"/>
    <w:rsid w:val="00E908C3"/>
    <w:rsid w:val="00E91259"/>
    <w:rsid w:val="00E91265"/>
    <w:rsid w:val="00E9185B"/>
    <w:rsid w:val="00E92616"/>
    <w:rsid w:val="00E9263E"/>
    <w:rsid w:val="00E93BAA"/>
    <w:rsid w:val="00E94170"/>
    <w:rsid w:val="00E94276"/>
    <w:rsid w:val="00E9510F"/>
    <w:rsid w:val="00E9527F"/>
    <w:rsid w:val="00E95760"/>
    <w:rsid w:val="00E95E63"/>
    <w:rsid w:val="00E96F76"/>
    <w:rsid w:val="00E97274"/>
    <w:rsid w:val="00E97A3B"/>
    <w:rsid w:val="00EA0063"/>
    <w:rsid w:val="00EA04F1"/>
    <w:rsid w:val="00EA06CE"/>
    <w:rsid w:val="00EA0BF2"/>
    <w:rsid w:val="00EA16E7"/>
    <w:rsid w:val="00EA1ED0"/>
    <w:rsid w:val="00EA1FCD"/>
    <w:rsid w:val="00EA26D3"/>
    <w:rsid w:val="00EA3041"/>
    <w:rsid w:val="00EA35BA"/>
    <w:rsid w:val="00EA4A8D"/>
    <w:rsid w:val="00EA596D"/>
    <w:rsid w:val="00EA65E1"/>
    <w:rsid w:val="00EA71E1"/>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0F25"/>
    <w:rsid w:val="00EC1148"/>
    <w:rsid w:val="00EC1431"/>
    <w:rsid w:val="00EC1591"/>
    <w:rsid w:val="00EC19BD"/>
    <w:rsid w:val="00EC1B3A"/>
    <w:rsid w:val="00EC1F8C"/>
    <w:rsid w:val="00EC22AB"/>
    <w:rsid w:val="00EC2583"/>
    <w:rsid w:val="00EC312C"/>
    <w:rsid w:val="00EC352C"/>
    <w:rsid w:val="00EC363E"/>
    <w:rsid w:val="00EC3EC4"/>
    <w:rsid w:val="00EC439E"/>
    <w:rsid w:val="00EC5FAA"/>
    <w:rsid w:val="00EC62C5"/>
    <w:rsid w:val="00EC6E5E"/>
    <w:rsid w:val="00EC713B"/>
    <w:rsid w:val="00EC7B6F"/>
    <w:rsid w:val="00EC7D36"/>
    <w:rsid w:val="00ED0243"/>
    <w:rsid w:val="00ED06F3"/>
    <w:rsid w:val="00ED0F2B"/>
    <w:rsid w:val="00ED13A5"/>
    <w:rsid w:val="00ED20CC"/>
    <w:rsid w:val="00ED3C74"/>
    <w:rsid w:val="00ED441D"/>
    <w:rsid w:val="00ED4AD3"/>
    <w:rsid w:val="00ED5CBD"/>
    <w:rsid w:val="00ED684D"/>
    <w:rsid w:val="00ED7037"/>
    <w:rsid w:val="00EE00D9"/>
    <w:rsid w:val="00EE1B00"/>
    <w:rsid w:val="00EE229A"/>
    <w:rsid w:val="00EE2B83"/>
    <w:rsid w:val="00EE36B4"/>
    <w:rsid w:val="00EE3E9A"/>
    <w:rsid w:val="00EE4118"/>
    <w:rsid w:val="00EE4909"/>
    <w:rsid w:val="00EE4B90"/>
    <w:rsid w:val="00EE4DB9"/>
    <w:rsid w:val="00EE581E"/>
    <w:rsid w:val="00EE63BD"/>
    <w:rsid w:val="00EE6597"/>
    <w:rsid w:val="00EE7D66"/>
    <w:rsid w:val="00EF0D2C"/>
    <w:rsid w:val="00EF0E51"/>
    <w:rsid w:val="00EF11BF"/>
    <w:rsid w:val="00EF248F"/>
    <w:rsid w:val="00EF4BC4"/>
    <w:rsid w:val="00EF4E8C"/>
    <w:rsid w:val="00EF5CF8"/>
    <w:rsid w:val="00EF6738"/>
    <w:rsid w:val="00EF67D2"/>
    <w:rsid w:val="00EF7B1E"/>
    <w:rsid w:val="00EF7F5E"/>
    <w:rsid w:val="00F000CD"/>
    <w:rsid w:val="00F01445"/>
    <w:rsid w:val="00F02780"/>
    <w:rsid w:val="00F02794"/>
    <w:rsid w:val="00F0399C"/>
    <w:rsid w:val="00F041EF"/>
    <w:rsid w:val="00F04E17"/>
    <w:rsid w:val="00F05236"/>
    <w:rsid w:val="00F05284"/>
    <w:rsid w:val="00F05E78"/>
    <w:rsid w:val="00F06044"/>
    <w:rsid w:val="00F06453"/>
    <w:rsid w:val="00F064CF"/>
    <w:rsid w:val="00F067A3"/>
    <w:rsid w:val="00F07D17"/>
    <w:rsid w:val="00F11852"/>
    <w:rsid w:val="00F11A03"/>
    <w:rsid w:val="00F11B80"/>
    <w:rsid w:val="00F11FAE"/>
    <w:rsid w:val="00F12836"/>
    <w:rsid w:val="00F12E85"/>
    <w:rsid w:val="00F12F05"/>
    <w:rsid w:val="00F14805"/>
    <w:rsid w:val="00F15553"/>
    <w:rsid w:val="00F16704"/>
    <w:rsid w:val="00F20FB7"/>
    <w:rsid w:val="00F21110"/>
    <w:rsid w:val="00F21263"/>
    <w:rsid w:val="00F21378"/>
    <w:rsid w:val="00F21429"/>
    <w:rsid w:val="00F218AD"/>
    <w:rsid w:val="00F21D12"/>
    <w:rsid w:val="00F21D35"/>
    <w:rsid w:val="00F21F31"/>
    <w:rsid w:val="00F222FF"/>
    <w:rsid w:val="00F22C7B"/>
    <w:rsid w:val="00F22D86"/>
    <w:rsid w:val="00F23410"/>
    <w:rsid w:val="00F23E34"/>
    <w:rsid w:val="00F23EE2"/>
    <w:rsid w:val="00F23F84"/>
    <w:rsid w:val="00F25219"/>
    <w:rsid w:val="00F26B20"/>
    <w:rsid w:val="00F27680"/>
    <w:rsid w:val="00F306A0"/>
    <w:rsid w:val="00F30CCA"/>
    <w:rsid w:val="00F31D1D"/>
    <w:rsid w:val="00F32ED0"/>
    <w:rsid w:val="00F34472"/>
    <w:rsid w:val="00F3490F"/>
    <w:rsid w:val="00F36B97"/>
    <w:rsid w:val="00F37AA6"/>
    <w:rsid w:val="00F37E55"/>
    <w:rsid w:val="00F40331"/>
    <w:rsid w:val="00F421CF"/>
    <w:rsid w:val="00F423B1"/>
    <w:rsid w:val="00F430AB"/>
    <w:rsid w:val="00F43DB7"/>
    <w:rsid w:val="00F44BA6"/>
    <w:rsid w:val="00F44DEA"/>
    <w:rsid w:val="00F456A0"/>
    <w:rsid w:val="00F4657E"/>
    <w:rsid w:val="00F46761"/>
    <w:rsid w:val="00F47187"/>
    <w:rsid w:val="00F50357"/>
    <w:rsid w:val="00F5076A"/>
    <w:rsid w:val="00F50EF6"/>
    <w:rsid w:val="00F51104"/>
    <w:rsid w:val="00F520D9"/>
    <w:rsid w:val="00F523F1"/>
    <w:rsid w:val="00F5260A"/>
    <w:rsid w:val="00F52735"/>
    <w:rsid w:val="00F532F3"/>
    <w:rsid w:val="00F538F4"/>
    <w:rsid w:val="00F53BFB"/>
    <w:rsid w:val="00F54504"/>
    <w:rsid w:val="00F554D6"/>
    <w:rsid w:val="00F55B8E"/>
    <w:rsid w:val="00F55D8B"/>
    <w:rsid w:val="00F5638E"/>
    <w:rsid w:val="00F575B3"/>
    <w:rsid w:val="00F5798C"/>
    <w:rsid w:val="00F57E37"/>
    <w:rsid w:val="00F60164"/>
    <w:rsid w:val="00F60219"/>
    <w:rsid w:val="00F6103F"/>
    <w:rsid w:val="00F6211F"/>
    <w:rsid w:val="00F623A8"/>
    <w:rsid w:val="00F62A08"/>
    <w:rsid w:val="00F635C3"/>
    <w:rsid w:val="00F6377B"/>
    <w:rsid w:val="00F637D6"/>
    <w:rsid w:val="00F6385C"/>
    <w:rsid w:val="00F6481D"/>
    <w:rsid w:val="00F6502B"/>
    <w:rsid w:val="00F65316"/>
    <w:rsid w:val="00F6636B"/>
    <w:rsid w:val="00F667E6"/>
    <w:rsid w:val="00F66DE8"/>
    <w:rsid w:val="00F674A5"/>
    <w:rsid w:val="00F67858"/>
    <w:rsid w:val="00F67EB3"/>
    <w:rsid w:val="00F725A9"/>
    <w:rsid w:val="00F72BB0"/>
    <w:rsid w:val="00F72EE1"/>
    <w:rsid w:val="00F736D7"/>
    <w:rsid w:val="00F74CB1"/>
    <w:rsid w:val="00F75786"/>
    <w:rsid w:val="00F807F3"/>
    <w:rsid w:val="00F81007"/>
    <w:rsid w:val="00F8100B"/>
    <w:rsid w:val="00F81753"/>
    <w:rsid w:val="00F81A33"/>
    <w:rsid w:val="00F81BA5"/>
    <w:rsid w:val="00F82558"/>
    <w:rsid w:val="00F834E5"/>
    <w:rsid w:val="00F83C08"/>
    <w:rsid w:val="00F848CC"/>
    <w:rsid w:val="00F84D24"/>
    <w:rsid w:val="00F85252"/>
    <w:rsid w:val="00F86978"/>
    <w:rsid w:val="00F87B43"/>
    <w:rsid w:val="00F87D3F"/>
    <w:rsid w:val="00F90792"/>
    <w:rsid w:val="00F90B0B"/>
    <w:rsid w:val="00F91AC9"/>
    <w:rsid w:val="00F92F32"/>
    <w:rsid w:val="00F93D54"/>
    <w:rsid w:val="00F9434B"/>
    <w:rsid w:val="00F97B94"/>
    <w:rsid w:val="00FA10F9"/>
    <w:rsid w:val="00FA1C26"/>
    <w:rsid w:val="00FA29FF"/>
    <w:rsid w:val="00FA365D"/>
    <w:rsid w:val="00FA4222"/>
    <w:rsid w:val="00FA4E09"/>
    <w:rsid w:val="00FA5432"/>
    <w:rsid w:val="00FA579A"/>
    <w:rsid w:val="00FA5BE8"/>
    <w:rsid w:val="00FA5C13"/>
    <w:rsid w:val="00FA5EBF"/>
    <w:rsid w:val="00FA717D"/>
    <w:rsid w:val="00FA7364"/>
    <w:rsid w:val="00FB2247"/>
    <w:rsid w:val="00FB3145"/>
    <w:rsid w:val="00FB37D4"/>
    <w:rsid w:val="00FB44FF"/>
    <w:rsid w:val="00FB4E3A"/>
    <w:rsid w:val="00FB517D"/>
    <w:rsid w:val="00FB5EA9"/>
    <w:rsid w:val="00FB6812"/>
    <w:rsid w:val="00FB724C"/>
    <w:rsid w:val="00FC0184"/>
    <w:rsid w:val="00FC03D9"/>
    <w:rsid w:val="00FC1DD3"/>
    <w:rsid w:val="00FC203E"/>
    <w:rsid w:val="00FC2443"/>
    <w:rsid w:val="00FC2C91"/>
    <w:rsid w:val="00FC3134"/>
    <w:rsid w:val="00FC3471"/>
    <w:rsid w:val="00FC3632"/>
    <w:rsid w:val="00FC435F"/>
    <w:rsid w:val="00FC445E"/>
    <w:rsid w:val="00FC4EA4"/>
    <w:rsid w:val="00FC725A"/>
    <w:rsid w:val="00FC7926"/>
    <w:rsid w:val="00FD01FC"/>
    <w:rsid w:val="00FD0286"/>
    <w:rsid w:val="00FD07A5"/>
    <w:rsid w:val="00FD0D1A"/>
    <w:rsid w:val="00FD37BA"/>
    <w:rsid w:val="00FD3D07"/>
    <w:rsid w:val="00FD44D7"/>
    <w:rsid w:val="00FD44E0"/>
    <w:rsid w:val="00FD4788"/>
    <w:rsid w:val="00FD49F7"/>
    <w:rsid w:val="00FD4BB1"/>
    <w:rsid w:val="00FD4D85"/>
    <w:rsid w:val="00FD66E1"/>
    <w:rsid w:val="00FD72BA"/>
    <w:rsid w:val="00FD7C53"/>
    <w:rsid w:val="00FE06F8"/>
    <w:rsid w:val="00FE08D4"/>
    <w:rsid w:val="00FE151D"/>
    <w:rsid w:val="00FE15FE"/>
    <w:rsid w:val="00FE20E7"/>
    <w:rsid w:val="00FE26B1"/>
    <w:rsid w:val="00FE4B31"/>
    <w:rsid w:val="00FE4C5A"/>
    <w:rsid w:val="00FE4C76"/>
    <w:rsid w:val="00FE6BDF"/>
    <w:rsid w:val="00FE6E77"/>
    <w:rsid w:val="00FE7279"/>
    <w:rsid w:val="00FE7581"/>
    <w:rsid w:val="00FE7A34"/>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6818C81"/>
    <w:rsid w:val="174FA402"/>
    <w:rsid w:val="1FA3496F"/>
    <w:rsid w:val="24DC1DE0"/>
    <w:rsid w:val="2A92CF0D"/>
    <w:rsid w:val="2B168CEB"/>
    <w:rsid w:val="33663118"/>
    <w:rsid w:val="3F17CB8D"/>
    <w:rsid w:val="4951E7AB"/>
    <w:rsid w:val="525400BE"/>
    <w:rsid w:val="531411B3"/>
    <w:rsid w:val="55294374"/>
    <w:rsid w:val="553D8BA6"/>
    <w:rsid w:val="5B509BD2"/>
    <w:rsid w:val="5C827F8F"/>
    <w:rsid w:val="5EC57588"/>
    <w:rsid w:val="622873F7"/>
    <w:rsid w:val="672D04CF"/>
    <w:rsid w:val="68CA01BC"/>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E489C"/>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BE489C"/>
    <w:rPr>
      <w:rFonts w:ascii="Times New Roman" w:hAnsi="Times New Roman"/>
      <w:sz w:val="24"/>
      <w:szCs w:val="24"/>
    </w:rPr>
  </w:style>
  <w:style w:type="character" w:customStyle="1" w:styleId="ui-provider">
    <w:name w:val="ui-provider"/>
    <w:basedOn w:val="DefaultParagraphFont"/>
    <w:rsid w:val="00FA5432"/>
  </w:style>
  <w:style w:type="paragraph" w:customStyle="1" w:styleId="xmsolistparagraph">
    <w:name w:val="x_msolistparagraph"/>
    <w:basedOn w:val="Normal"/>
    <w:rsid w:val="004D4202"/>
    <w:pPr>
      <w:suppressAutoHyphens w:val="0"/>
      <w:autoSpaceDN/>
      <w:spacing w:after="0" w:line="240" w:lineRule="auto"/>
      <w:ind w:left="720"/>
    </w:pPr>
    <w:rPr>
      <w:rFonts w:ascii="Aptos" w:eastAsiaTheme="minorHAnsi" w:hAnsi="Aptos" w:cs="Aptos"/>
      <w:color w:val="auto"/>
    </w:rPr>
  </w:style>
  <w:style w:type="paragraph" w:customStyle="1" w:styleId="xmsonormal">
    <w:name w:val="x_msonormal"/>
    <w:basedOn w:val="Normal"/>
    <w:rsid w:val="00F60219"/>
    <w:pPr>
      <w:suppressAutoHyphens w:val="0"/>
      <w:autoSpaceDN/>
      <w:spacing w:after="0" w:line="240" w:lineRule="auto"/>
    </w:pPr>
    <w:rPr>
      <w:rFonts w:ascii="Aptos" w:eastAsiaTheme="minorHAnsi" w:hAnsi="Aptos" w:cs="Apto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 w:id="1857696247">
      <w:bodyDiv w:val="1"/>
      <w:marLeft w:val="0"/>
      <w:marRight w:val="0"/>
      <w:marTop w:val="0"/>
      <w:marBottom w:val="0"/>
      <w:divBdr>
        <w:top w:val="none" w:sz="0" w:space="0" w:color="auto"/>
        <w:left w:val="none" w:sz="0" w:space="0" w:color="auto"/>
        <w:bottom w:val="none" w:sz="0" w:space="0" w:color="auto"/>
        <w:right w:val="none" w:sz="0" w:space="0" w:color="auto"/>
      </w:divBdr>
    </w:div>
    <w:div w:id="190371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evidence-summaries/teaching-learning-toolkit/phonics/"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guidance-reports/implementation"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guidance-reports" TargetMode="External"/><Relationship Id="rId17" Type="http://schemas.openxmlformats.org/officeDocument/2006/relationships/hyperlink" Target="https://educationendowmentfoundation.org.uk/evidence-summaries/teaching-learning-toolkit/small-group-tui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teaching-assistant-interventions?utm_source=/education-evidence/teaching-learning-toolkit/teaching-assistant-interventions&amp;utm_medium=search&amp;utm_campaign=site_search&amp;search_term=teaching%20assistant" TargetMode="External"/><Relationship Id="rId20" Type="http://schemas.openxmlformats.org/officeDocument/2006/relationships/hyperlink" Target="https://educationendowmentfoundation.org.uk/education-evidence/teaching-learning-toolkit/feedb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vidence-summaries/teaching-learning-toolkit/oral-language-intervention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primary-se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oral-language-interven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maths-ks-2-3"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2F592-7B5D-4BFD-9FBA-3B80E7716E48}">
  <ds:schemaRefs>
    <ds:schemaRef ds:uri="http://schemas.openxmlformats.org/officeDocument/2006/bibliography"/>
  </ds:schemaRefs>
</ds:datastoreItem>
</file>

<file path=customXml/itemProps2.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AAE95-9E09-45B2-A57B-72C2C83BC64E}">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2411</Words>
  <Characters>12441</Characters>
  <Application>Microsoft Office Word</Application>
  <DocSecurity>0</DocSecurity>
  <Lines>777</Lines>
  <Paragraphs>464</Paragraphs>
  <ScaleCrop>false</ScaleCrop>
  <HeadingPairs>
    <vt:vector size="2" baseType="variant">
      <vt:variant>
        <vt:lpstr>Title</vt:lpstr>
      </vt:variant>
      <vt:variant>
        <vt:i4>1</vt:i4>
      </vt:variant>
    </vt:vector>
  </HeadingPairs>
  <TitlesOfParts>
    <vt:vector size="1" baseType="lpstr">
      <vt:lpstr>Example pupil premium strategy primary statement - primary</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primary statement - primary</dc:title>
  <dc:subject/>
  <dc:creator>Department for Education</dc:creator>
  <cp:keywords/>
  <dc:description/>
  <cp:lastModifiedBy>Rachel Baker</cp:lastModifiedBy>
  <cp:revision>9</cp:revision>
  <cp:lastPrinted>2014-09-17T13:26:00Z</cp:lastPrinted>
  <dcterms:created xsi:type="dcterms:W3CDTF">2025-12-18T12:18:00Z</dcterms:created>
  <dcterms:modified xsi:type="dcterms:W3CDTF">2025-12-18T16:07:00Z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